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Kelly Christie B.</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Legence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LEGENCE CORP.</w:t>
            </w:r>
          </w:p>
        </w:tc>
        <w:tc>
          <w:tcPr>
            <w:tcW w:w="13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1601 LAS PLUMAS AVENUE</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1,675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7,032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an award of Restricted Stock Units, which each entitle the reporting person to receive one share of Legence Corp.'s (the "Issuer") Class A common stock, par value $0.01 per share, upon vesting. The Restricted Stock Units will fully vest on the earlier of the first anniversary of the date of the award and the day immediately preceding the Issuer's 2027 annual stockholder meeting, subject to continued service through such date.</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Bryce Seki, as attorney-in-</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7703" TargetMode="External"/><Relationship Id="rId14" Type="http://schemas.openxmlformats.org/officeDocument/2006/relationships/hyperlink" Target="http://www.sec.gov/cgi-bin/browse-edgar?action=getcompany&amp;CIK=00020525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2026-06-11T16:17:55Z</dcterms:created>
  <dcterms:modified xsi:type="dcterms:W3CDTF">2026-06-11T16:17:55Z</dcterms:modified>
</cp:coreProperties>
</file>