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Crisci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LEGENCE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1601 LAS PLUMAS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Legence Corp.</w:t>
              </w:r>
            </w:hyperlink>
            <w:r>
              <w:rPr/>
              <w:t xml:space="preserve"> [ </w:t>
            </w:r>
            <w:r>
              <w:rPr>
                <w:rFonts w:ascii="Times;serif" w:hAnsi="Times;serif"/>
                <w:color w:val="0000FF"/>
                <w:sz w:val="24"/>
                <w:shd w:fill="FFFFFF" w:val="clear"/>
              </w:rPr>
              <w:t>LGN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represent an award of Restricted Stock Units, which each entitle the reporting person to receive one share of Legence Corp.'s (the "Issuer") Class A common stock, par value $0.01 per share, upon vesting. The Restricted Stock Units will fully vest on the earlier of the first anniversary of the date of the award and the day immediately preceding the Issuer's 2027 annual stockholder meeting, subject to continued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Bryce Seki,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9417" TargetMode="External"/><Relationship Id="rId5" Type="http://schemas.openxmlformats.org/officeDocument/2006/relationships/hyperlink" Target="http://www.sec.gov/cgi-bin/browse-edgar?action=getcompany&amp;CIK=00020525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3450</Characters>
  <CharactersWithSpaces>4023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