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3830d8k.htm"/>
      <w:bookmarkStart w:id="1" w:name="ksd6383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June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Legence Corp.</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001-42838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33-2905250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1601 Las Plumas Avenue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San Jose, CA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95133</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(833) 534-3623</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40" w:type="dxa"/>
        <w:jc w:val="left"/>
        <w:tblInd w:w="0" w:type="dxa"/>
        <w:tblLayout w:type="fixed"/>
        <w:tblCellMar>
          <w:top w:w="0" w:type="dxa"/>
          <w:left w:w="0" w:type="dxa"/>
          <w:bottom w:w="0" w:type="dxa"/>
          <w:right w:w="0" w:type="dxa"/>
        </w:tblCellMar>
      </w:tblPr>
      <w:tblGrid>
        <w:gridCol w:w="4730"/>
        <w:gridCol w:w="60"/>
        <w:gridCol w:w="740"/>
        <w:gridCol w:w="60"/>
        <w:gridCol w:w="3050"/>
      </w:tblGrid>
      <w:tr>
        <w:trPr/>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730" w:type="dxa"/>
            <w:tcBorders/>
            <w:vAlign w:val="center"/>
          </w:tcPr>
          <w:p>
            <w:pPr>
              <w:pStyle w:val="TableContents"/>
              <w:bidi w:val="0"/>
              <w:spacing w:before="0" w:after="283"/>
              <w:jc w:val="center"/>
              <w:rPr/>
            </w:pPr>
            <w:r>
              <w:rPr/>
              <w:t>Class A 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LGN</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Legence Corp. (the “Company”) held its 2026 Annual Meeting of Stockholders (the “Annual Meeting”) on June 11, 2026. At the Annual Meeting, the Company’s stockholders approved the Legence Corp. 2026 Employee Stock Purchase Plan (the “ESPP”), which had been previously approved by the Company’s Board of Directors, subject to stockholder approval. The ESPP is designed to allow eligible employees of the Company and certain designated subsidiaries of the Company to purchase shares of the Company’s Class A common stock, par value $0.01 per share (“Class A Common Stock”), at a discount to the market price, subject to the requirements of Section 423 of the U.S. Internal Revenue Code of 1986, as amended, and the terms of the ESPP. Up to 1,580,053 shares of Class A Common Stock are authorized for issuance pursuant to the ESPP, which number is subject to adjustment for certain corporate and recapitalization events as described in the ESPP. A further description of the ESPP is set forth in Proposal 4 of the Company’s definitive proxy statement on Schedule 14A, filed with the Securities and Exchange Commission (the “SEC”) on April 29, 2026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ESPP is not complete, is subject to and is qualified in its entirety by reference to the full text of the ESPP, which was filed as Exhibit 4.3 to the Company’s registration statement on Form S-8 filed on March 6, 2026 and is incorporated herein by reference.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described above, the Company held the Annual Meeting on June 11, 2026, at which there were 108,037,932 shares of Class A Common Stock and Class B common stock, par value $0.01 per share (“Class B Common Stock” and, together with the Class A Common Stock, “Common Stock”), entitled to vote at the Annual Meeting, and of which 100,342,575 shares of Common Stock, or approximately 93%, were voted. At the Annual Meeting, the Company’s stockholders voted on the following proposals, each of which is described in more detail in the Proxy Statement. The final voting results for each proposal are set forth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1: Election of Class I Directors </w:t>
      </w:r>
    </w:p>
    <w:p>
      <w:pPr>
        <w:pStyle w:val="TextBody"/>
        <w:bidi w:val="0"/>
        <w:spacing w:before="0" w:after="0"/>
        <w:jc w:val="left"/>
        <w:rPr/>
      </w:pPr>
      <w:r>
        <w:rPr/>
        <w:t> </w:t>
      </w:r>
    </w:p>
    <w:tbl>
      <w:tblPr>
        <w:tblW w:w="6950" w:type="dxa"/>
        <w:jc w:val="left"/>
        <w:tblInd w:w="0" w:type="dxa"/>
        <w:tblLayout w:type="fixed"/>
        <w:tblCellMar>
          <w:top w:w="0" w:type="dxa"/>
          <w:left w:w="0" w:type="dxa"/>
          <w:bottom w:w="0" w:type="dxa"/>
          <w:right w:w="0" w:type="dxa"/>
        </w:tblCellMar>
      </w:tblPr>
      <w:tblGrid>
        <w:gridCol w:w="1280"/>
        <w:gridCol w:w="120"/>
        <w:gridCol w:w="60"/>
        <w:gridCol w:w="1100"/>
        <w:gridCol w:w="60"/>
        <w:gridCol w:w="120"/>
        <w:gridCol w:w="71"/>
        <w:gridCol w:w="1314"/>
        <w:gridCol w:w="60"/>
        <w:gridCol w:w="120"/>
        <w:gridCol w:w="148"/>
        <w:gridCol w:w="2422"/>
        <w:gridCol w:w="75"/>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NOMINEES</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Coghlan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96,766,776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1,481,954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422" w:type="dxa"/>
            <w:tcBorders/>
            <w:shd w:fill="CCEEFF" w:val="clear"/>
            <w:vAlign w:val="center"/>
          </w:tcPr>
          <w:p>
            <w:pPr>
              <w:pStyle w:val="TableContents"/>
              <w:bidi w:val="0"/>
              <w:spacing w:before="0" w:after="283"/>
              <w:jc w:val="right"/>
              <w:rPr/>
            </w:pPr>
            <w:r>
              <w:rPr/>
              <w:t>2,093,845</w:t>
            </w:r>
          </w:p>
        </w:tc>
        <w:tc>
          <w:tcPr>
            <w:tcW w:w="7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Bilal Khan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77,227,300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21,021,430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422" w:type="dxa"/>
            <w:tcBorders/>
            <w:vAlign w:val="center"/>
          </w:tcPr>
          <w:p>
            <w:pPr>
              <w:pStyle w:val="TableContents"/>
              <w:bidi w:val="0"/>
              <w:spacing w:before="0" w:after="283"/>
              <w:jc w:val="right"/>
              <w:rPr/>
            </w:pPr>
            <w:r>
              <w:rPr/>
              <w:t>2,093,845</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the above individuals were elected to serve as Class I directors on the Company’s Board of Directors until the Company’s 2029 Annual Meeting of Stockholders and until their respective successors have been duly elected and qualified.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2: Approval, on a Non-Binding Advisory Basis, of 2026 Named Executive Officer Compensation </w:t>
      </w:r>
    </w:p>
    <w:p>
      <w:pPr>
        <w:pStyle w:val="TextBody"/>
        <w:bidi w:val="0"/>
        <w:spacing w:before="0" w:after="0"/>
        <w:jc w:val="left"/>
        <w:rPr/>
      </w:pPr>
      <w:r>
        <w:rPr/>
        <w:t> </w:t>
      </w:r>
    </w:p>
    <w:tbl>
      <w:tblPr>
        <w:tblW w:w="4865" w:type="dxa"/>
        <w:jc w:val="left"/>
        <w:tblInd w:w="0" w:type="dxa"/>
        <w:tblLayout w:type="fixed"/>
        <w:tblCellMar>
          <w:top w:w="0" w:type="dxa"/>
          <w:left w:w="0" w:type="dxa"/>
          <w:bottom w:w="0" w:type="dxa"/>
          <w:right w:w="0" w:type="dxa"/>
        </w:tblCellMar>
      </w:tblPr>
      <w:tblGrid>
        <w:gridCol w:w="1115"/>
        <w:gridCol w:w="60"/>
        <w:gridCol w:w="980"/>
        <w:gridCol w:w="60"/>
        <w:gridCol w:w="800"/>
        <w:gridCol w:w="60"/>
        <w:gridCol w:w="179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95,847,463</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2,119,206</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282,061</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center"/>
              <w:rPr/>
            </w:pPr>
            <w:r>
              <w:rPr/>
              <w:t>2,093,845</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the 2026 compensation of the Company’s named executive officers (“NEOs”) was approved on a non-binding advisory basis.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Proposal 3: Approval, on a Non-Binding Advisory Basis, of the Frequency of Future Advisory Votes on NEO Compensation </w:t>
      </w:r>
    </w:p>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1115"/>
        <w:gridCol w:w="60"/>
        <w:gridCol w:w="710"/>
        <w:gridCol w:w="60"/>
        <w:gridCol w:w="800"/>
        <w:gridCol w:w="60"/>
        <w:gridCol w:w="740"/>
        <w:gridCol w:w="60"/>
        <w:gridCol w:w="179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1 YEAR</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 YEARS</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3 YEARS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97,839,229</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4,933</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400,441</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4,127</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center"/>
              <w:rPr/>
            </w:pPr>
            <w:r>
              <w:rPr/>
              <w:t>2,093,845</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the frequency of every one year for future advisory votes on NEO compensation was approved on a non-binding advisory basis. After considering these results, the Company determined that it would hold an advisory vote on NEO compensation every one year until the next stockholder vote on the preferred frequency of future advisory votes on the compensation of our NEOs.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4: Approval of the Legence Corp. 2026 Employee Stock Purchase Plan </w:t>
      </w:r>
    </w:p>
    <w:p>
      <w:pPr>
        <w:pStyle w:val="TextBody"/>
        <w:bidi w:val="0"/>
        <w:spacing w:before="0" w:after="0"/>
        <w:jc w:val="left"/>
        <w:rPr/>
      </w:pPr>
      <w:r>
        <w:rPr/>
        <w:t> </w:t>
      </w:r>
    </w:p>
    <w:tbl>
      <w:tblPr>
        <w:tblW w:w="4655" w:type="dxa"/>
        <w:jc w:val="left"/>
        <w:tblInd w:w="0" w:type="dxa"/>
        <w:tblLayout w:type="fixed"/>
        <w:tblCellMar>
          <w:top w:w="0" w:type="dxa"/>
          <w:left w:w="0" w:type="dxa"/>
          <w:bottom w:w="0" w:type="dxa"/>
          <w:right w:w="0" w:type="dxa"/>
        </w:tblCellMar>
      </w:tblPr>
      <w:tblGrid>
        <w:gridCol w:w="1115"/>
        <w:gridCol w:w="60"/>
        <w:gridCol w:w="770"/>
        <w:gridCol w:w="60"/>
        <w:gridCol w:w="800"/>
        <w:gridCol w:w="60"/>
        <w:gridCol w:w="179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98,024,042</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center"/>
              <w:rPr/>
            </w:pPr>
            <w:r>
              <w:rPr/>
              <w:t>4,856</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219,832</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center"/>
              <w:rPr/>
            </w:pPr>
            <w:r>
              <w:rPr/>
              <w:t>2,093,845</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the ESPP was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5: Ratification of the Appointment of Deloitte &amp; Touche LLP as the Company’s Independent Registered Public Accounting Firm for Fiscal Year 2026 </w:t>
      </w:r>
    </w:p>
    <w:p>
      <w:pPr>
        <w:pStyle w:val="TextBody"/>
        <w:bidi w:val="0"/>
        <w:spacing w:before="0" w:after="0"/>
        <w:jc w:val="left"/>
        <w:rPr/>
      </w:pPr>
      <w:r>
        <w:rPr/>
        <w:t> </w:t>
      </w:r>
    </w:p>
    <w:tbl>
      <w:tblPr>
        <w:tblW w:w="2880" w:type="dxa"/>
        <w:jc w:val="left"/>
        <w:tblInd w:w="0" w:type="dxa"/>
        <w:tblLayout w:type="fixed"/>
        <w:tblCellMar>
          <w:top w:w="0" w:type="dxa"/>
          <w:left w:w="0" w:type="dxa"/>
          <w:bottom w:w="0" w:type="dxa"/>
          <w:right w:w="0" w:type="dxa"/>
        </w:tblCellMar>
      </w:tblPr>
      <w:tblGrid>
        <w:gridCol w:w="1235"/>
        <w:gridCol w:w="60"/>
        <w:gridCol w:w="770"/>
        <w:gridCol w:w="60"/>
        <w:gridCol w:w="7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r>
      <w:tr>
        <w:trPr/>
        <w:tc>
          <w:tcPr>
            <w:tcW w:w="1235" w:type="dxa"/>
            <w:tcBorders/>
            <w:shd w:fill="CCEEFF" w:val="clear"/>
            <w:vAlign w:val="center"/>
          </w:tcPr>
          <w:p>
            <w:pPr>
              <w:pStyle w:val="TableContents"/>
              <w:bidi w:val="0"/>
              <w:spacing w:before="0" w:after="283"/>
              <w:jc w:val="center"/>
              <w:rPr/>
            </w:pPr>
            <w:r>
              <w:rPr/>
              <w:t>100,320,150</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center"/>
              <w:rPr/>
            </w:pPr>
            <w:r>
              <w:rPr/>
              <w:t>17,381</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5,044</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the Company’s appointment of Deloitte &amp; Touche LLP as the Company’s independent registered public accounting firm for the fiscal year ending December 31, 2026 was ratified.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center"/>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2">
              <w:r>
                <w:rPr>
                  <w:rStyle w:val="InternetLink"/>
                </w:rPr>
                <w:t xml:space="preserve">Legence Corp. 2026 Employee Stock Purchase Plan (incorporated by reference to Exhibit 4.3 to the Company’s registration statement on Form S-8 filed on March 6,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138" w:type="dxa"/>
        <w:jc w:val="left"/>
        <w:tblInd w:w="0" w:type="dxa"/>
        <w:tblLayout w:type="fixed"/>
        <w:tblCellMar>
          <w:top w:w="0" w:type="dxa"/>
          <w:left w:w="0" w:type="dxa"/>
          <w:bottom w:w="0" w:type="dxa"/>
          <w:right w:w="0" w:type="dxa"/>
        </w:tblCellMar>
      </w:tblPr>
      <w:tblGrid>
        <w:gridCol w:w="2060"/>
        <w:gridCol w:w="60"/>
        <w:gridCol w:w="23"/>
        <w:gridCol w:w="60"/>
        <w:gridCol w:w="650"/>
        <w:gridCol w:w="60"/>
        <w:gridCol w:w="2225"/>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LEGENCE CORP.</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pPr>
            <w:r>
              <w:rPr/>
              <w:t>Dated: June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Butz</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Stephen Butz</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52568/000119312526096494/d102650dex43.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1050</Words>
  <Characters>5655</Characters>
  <CharactersWithSpaces>6716</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