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33"/>
        <w:ind w:left="0" w:right="0" w:hanging="10"/>
        <w:jc w:val="both"/>
        <w:rPr/>
      </w:pPr>
      <w:r>
        <w:rPr/>
      </w:r>
    </w:p>
    <w:p>
      <w:pPr>
        <w:pStyle w:val="TextBody"/>
        <w:bidi w:val="0"/>
        <w:spacing w:lineRule="auto" w:line="288" w:before="0" w:after="0"/>
        <w:jc w:val="center"/>
        <w:rPr>
          <w:rFonts w:ascii="Times New Roman;serif" w:hAnsi="Times New Roman;serif"/>
          <w:b/>
          <w:color w:val="181717"/>
          <w:sz w:val="36"/>
        </w:rPr>
      </w:pPr>
      <w:r>
        <w:rPr>
          <w:rFonts w:ascii="Times New Roman;serif" w:hAnsi="Times New Roman;serif"/>
          <w:b/>
          <w:color w:val="181717"/>
          <w:sz w:val="36"/>
        </w:rPr>
        <w:t>UNITED STATES</w:t>
      </w:r>
    </w:p>
    <w:p>
      <w:pPr>
        <w:pStyle w:val="TextBody"/>
        <w:bidi w:val="0"/>
        <w:spacing w:lineRule="auto" w:line="288" w:before="0" w:after="0"/>
        <w:jc w:val="center"/>
        <w:rPr>
          <w:rFonts w:ascii="Times New Roman;serif" w:hAnsi="Times New Roman;serif"/>
          <w:b/>
          <w:color w:val="181717"/>
          <w:sz w:val="36"/>
        </w:rPr>
      </w:pPr>
      <w:r>
        <w:rPr>
          <w:rFonts w:ascii="Times New Roman;serif" w:hAnsi="Times New Roman;serif"/>
          <w:b/>
          <w:color w:val="181717"/>
          <w:sz w:val="36"/>
        </w:rPr>
        <w:t>SECURITIES AND EXCHANGE COMMISSION</w:t>
      </w:r>
    </w:p>
    <w:p>
      <w:pPr>
        <w:pStyle w:val="TextBody"/>
        <w:bidi w:val="0"/>
        <w:spacing w:lineRule="auto" w:line="288" w:before="0" w:after="0"/>
        <w:jc w:val="center"/>
        <w:rPr>
          <w:rFonts w:ascii="Times New Roman;serif" w:hAnsi="Times New Roman;serif"/>
          <w:b/>
          <w:color w:val="181717"/>
          <w:sz w:val="28"/>
        </w:rPr>
      </w:pPr>
      <w:r>
        <w:rPr>
          <w:rFonts w:ascii="Times New Roman;serif" w:hAnsi="Times New Roman;serif"/>
          <w:b/>
          <w:color w:val="181717"/>
          <w:sz w:val="28"/>
        </w:rPr>
        <w:t>Washington, D.C. 20549</w:t>
      </w:r>
    </w:p>
    <w:p>
      <w:pPr>
        <w:pStyle w:val="TextBody"/>
        <w:bidi w:val="0"/>
        <w:spacing w:lineRule="auto" w:line="288" w:before="0" w:after="0"/>
        <w:jc w:val="center"/>
        <w:rPr>
          <w:rFonts w:ascii="Times New Roman;serif" w:hAnsi="Times New Roman;serif"/>
          <w:b/>
          <w:color w:val="181717"/>
          <w:sz w:val="28"/>
        </w:rPr>
      </w:pPr>
      <w:r>
        <w:rPr>
          <w:rFonts w:ascii="Times New Roman;serif" w:hAnsi="Times New Roman;serif"/>
          <w:b/>
          <w:color w:val="181717"/>
          <w:sz w:val="28"/>
        </w:rPr>
        <w:t>_________________________</w:t>
      </w:r>
    </w:p>
    <w:p>
      <w:pPr>
        <w:pStyle w:val="TextBody"/>
        <w:bidi w:val="0"/>
        <w:spacing w:lineRule="auto" w:line="288" w:before="240" w:after="283"/>
        <w:jc w:val="center"/>
        <w:rPr>
          <w:rFonts w:ascii="Times New Roman;serif" w:hAnsi="Times New Roman;serif"/>
          <w:b/>
          <w:color w:val="181717"/>
          <w:sz w:val="36"/>
        </w:rPr>
      </w:pPr>
      <w:r>
        <w:rPr>
          <w:rFonts w:ascii="Times New Roman;serif" w:hAnsi="Times New Roman;serif"/>
          <w:b/>
          <w:color w:val="181717"/>
          <w:sz w:val="36"/>
        </w:rPr>
        <w:t>FORM 10-Q</w:t>
      </w:r>
    </w:p>
    <w:p>
      <w:pPr>
        <w:pStyle w:val="TextBody"/>
        <w:bidi w:val="0"/>
        <w:spacing w:lineRule="auto" w:line="288" w:before="0" w:after="0"/>
        <w:jc w:val="center"/>
        <w:rPr>
          <w:rFonts w:ascii="Times New Roman;serif" w:hAnsi="Times New Roman;serif"/>
          <w:b/>
          <w:color w:val="181717"/>
          <w:sz w:val="28"/>
        </w:rPr>
      </w:pPr>
      <w:r>
        <w:rPr>
          <w:rFonts w:ascii="Times New Roman;serif" w:hAnsi="Times New Roman;serif"/>
          <w:b/>
          <w:color w:val="181717"/>
          <w:sz w:val="28"/>
        </w:rPr>
        <w:t>_________________________</w:t>
      </w:r>
    </w:p>
    <w:p>
      <w:pPr>
        <w:pStyle w:val="TextBody"/>
        <w:bidi w:val="0"/>
        <w:spacing w:lineRule="auto" w:line="288" w:before="0" w:after="120"/>
        <w:jc w:val="left"/>
        <w:rPr>
          <w:rFonts w:ascii="Times New Roman;serif" w:hAnsi="Times New Roman;serif"/>
          <w:b/>
          <w:color w:val="181717"/>
          <w:sz w:val="20"/>
        </w:rPr>
      </w:pPr>
      <w:r>
        <w:rPr>
          <w:rFonts w:ascii="Times New Roman;serif" w:hAnsi="Times New Roman;serif"/>
          <w:b/>
          <w:color w:val="181717"/>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48" w:before="43" w:after="20"/>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348" w:before="43" w:after="20"/>
              <w:jc w:val="left"/>
              <w:rPr>
                <w:rFonts w:ascii="Times New Roman;serif" w:hAnsi="Times New Roman;serif"/>
                <w:b/>
                <w:color w:val="000000"/>
                <w:sz w:val="20"/>
              </w:rPr>
            </w:pPr>
            <w:r>
              <w:rPr>
                <w:rFonts w:ascii="Times New Roman;serif" w:hAnsi="Times New Roman;serif"/>
                <w:b/>
                <w:color w:val="000000"/>
                <w:sz w:val="20"/>
              </w:rPr>
              <w:t xml:space="preserve">QUARTERLY REPORT PURSUANT TO SECTION 13 OR 15(d) OF THE SECURITIES EXCHANGE ACT OF 1934 </w:t>
            </w:r>
          </w:p>
        </w:tc>
      </w:tr>
    </w:tbl>
    <w:p>
      <w:pPr>
        <w:pStyle w:val="TextBody"/>
        <w:bidi w:val="0"/>
        <w:spacing w:lineRule="auto" w:line="288" w:before="0" w:after="0"/>
        <w:jc w:val="center"/>
        <w:rPr/>
      </w:pPr>
      <w:r>
        <w:rPr>
          <w:rFonts w:ascii="Times New Roman;serif" w:hAnsi="Times New Roman;serif"/>
          <w:b/>
          <w:color w:val="181717"/>
          <w:sz w:val="20"/>
        </w:rPr>
        <w:t xml:space="preserve">For the quarterly period ended </w:t>
      </w:r>
      <w:r>
        <w:rPr>
          <w:rFonts w:ascii="Times New Roman;serif" w:hAnsi="Times New Roman;serif"/>
          <w:b/>
          <w:color w:val="000000"/>
          <w:sz w:val="20"/>
        </w:rPr>
        <w:t>March 31, 2026</w:t>
      </w:r>
    </w:p>
    <w:p>
      <w:pPr>
        <w:pStyle w:val="TextBody"/>
        <w:bidi w:val="0"/>
        <w:spacing w:lineRule="auto" w:line="288" w:before="120" w:after="120"/>
        <w:jc w:val="center"/>
        <w:rPr>
          <w:rFonts w:ascii="Times New Roman;serif" w:hAnsi="Times New Roman;serif"/>
          <w:b/>
          <w:color w:val="181717"/>
          <w:sz w:val="16"/>
        </w:rPr>
      </w:pPr>
      <w:r>
        <w:rPr>
          <w:rFonts w:ascii="Times New Roman;serif" w:hAnsi="Times New Roman;serif"/>
          <w:b/>
          <w:color w:val="181717"/>
          <w:sz w:val="16"/>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48" w:before="43" w:after="20"/>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348" w:before="43" w:after="20"/>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181717"/>
          <w:sz w:val="20"/>
        </w:rPr>
      </w:pPr>
      <w:r>
        <w:rPr>
          <w:rFonts w:ascii="Times New Roman;serif" w:hAnsi="Times New Roman;serif"/>
          <w:b/>
          <w:color w:val="181717"/>
          <w:sz w:val="20"/>
        </w:rPr>
        <w:t xml:space="preserve">For the transition period from _________ to _________ </w:t>
      </w:r>
    </w:p>
    <w:p>
      <w:pPr>
        <w:pStyle w:val="TextBody"/>
        <w:bidi w:val="0"/>
        <w:spacing w:lineRule="auto" w:line="288" w:before="120" w:after="120"/>
        <w:jc w:val="center"/>
        <w:rPr>
          <w:rFonts w:ascii="Times New Roman;serif" w:hAnsi="Times New Roman;serif"/>
          <w:b/>
          <w:color w:val="181717"/>
          <w:sz w:val="20"/>
        </w:rPr>
      </w:pPr>
      <w:r>
        <w:rPr>
          <w:rFonts w:ascii="Times New Roman;serif" w:hAnsi="Times New Roman;serif"/>
          <w:b/>
          <w:color w:val="181717"/>
          <w:sz w:val="20"/>
        </w:rPr>
        <w:t>Commission File Number 001-42838</w:t>
      </w:r>
    </w:p>
    <w:p>
      <w:pPr>
        <w:pStyle w:val="TextBody"/>
        <w:bidi w:val="0"/>
        <w:spacing w:lineRule="auto" w:line="288" w:before="0" w:after="0"/>
        <w:jc w:val="center"/>
        <w:rPr>
          <w:rFonts w:ascii="Times New Roman;serif" w:hAnsi="Times New Roman;serif"/>
          <w:b/>
          <w:color w:val="181717"/>
          <w:sz w:val="28"/>
        </w:rPr>
      </w:pPr>
      <w:r>
        <w:rPr>
          <w:rFonts w:ascii="Times New Roman;serif" w:hAnsi="Times New Roman;serif"/>
          <w:b/>
          <w:color w:val="181717"/>
          <w:sz w:val="28"/>
        </w:rPr>
        <w:t>_________________________</w:t>
      </w:r>
    </w:p>
    <w:p>
      <w:pPr>
        <w:pStyle w:val="TextBody"/>
        <w:bidi w:val="0"/>
        <w:spacing w:lineRule="auto" w:line="288" w:before="0" w:after="0"/>
        <w:jc w:val="center"/>
        <w:rPr>
          <w:rFonts w:ascii="Times New Roman;serif" w:hAnsi="Times New Roman;serif"/>
          <w:b/>
          <w:color w:val="181717"/>
          <w:sz w:val="36"/>
        </w:rPr>
      </w:pPr>
      <w:r>
        <w:rPr>
          <w:rFonts w:ascii="Times New Roman;serif" w:hAnsi="Times New Roman;serif"/>
          <w:b/>
          <w:color w:val="181717"/>
          <w:sz w:val="36"/>
        </w:rPr>
        <w:t>Legence Corp.</w:t>
      </w:r>
    </w:p>
    <w:p>
      <w:pPr>
        <w:pStyle w:val="TextBody"/>
        <w:bidi w:val="0"/>
        <w:spacing w:lineRule="auto" w:line="288" w:before="0" w:after="0"/>
        <w:jc w:val="center"/>
        <w:rPr>
          <w:rFonts w:ascii="Times New Roman;serif" w:hAnsi="Times New Roman;serif"/>
          <w:b w:val="false"/>
          <w:color w:val="181717"/>
          <w:sz w:val="20"/>
        </w:rPr>
      </w:pPr>
      <w:r>
        <w:rPr>
          <w:rFonts w:ascii="Times New Roman;serif" w:hAnsi="Times New Roman;serif"/>
          <w:b w:val="false"/>
          <w:color w:val="181717"/>
          <w:sz w:val="20"/>
        </w:rPr>
        <w:t>(Exact name of registrant as specified in its charter)</w:t>
      </w:r>
    </w:p>
    <w:p>
      <w:pPr>
        <w:pStyle w:val="TextBody"/>
        <w:bidi w:val="0"/>
        <w:spacing w:lineRule="auto" w:line="288" w:before="0" w:after="0"/>
        <w:jc w:val="center"/>
        <w:rPr>
          <w:rFonts w:ascii="Times New Roman;serif" w:hAnsi="Times New Roman;serif"/>
          <w:b/>
          <w:color w:val="181717"/>
          <w:sz w:val="28"/>
        </w:rPr>
      </w:pPr>
      <w:r>
        <w:rPr>
          <w:rFonts w:ascii="Times New Roman;serif" w:hAnsi="Times New Roman;serif"/>
          <w:b/>
          <w:color w:val="181717"/>
          <w:sz w:val="28"/>
        </w:rPr>
        <w:t>_________________________</w:t>
      </w:r>
    </w:p>
    <w:tbl>
      <w:tblPr>
        <w:tblW w:w="8648" w:type="dxa"/>
        <w:jc w:val="left"/>
        <w:tblInd w:w="0" w:type="dxa"/>
        <w:tblLayout w:type="fixed"/>
        <w:tblCellMar>
          <w:top w:w="28" w:type="dxa"/>
          <w:left w:w="28" w:type="dxa"/>
          <w:bottom w:w="28" w:type="dxa"/>
          <w:right w:w="28" w:type="dxa"/>
        </w:tblCellMar>
      </w:tblPr>
      <w:tblGrid>
        <w:gridCol w:w="1795"/>
        <w:gridCol w:w="1577"/>
        <w:gridCol w:w="1593"/>
        <w:gridCol w:w="109"/>
        <w:gridCol w:w="109"/>
        <w:gridCol w:w="109"/>
        <w:gridCol w:w="109"/>
        <w:gridCol w:w="109"/>
        <w:gridCol w:w="109"/>
        <w:gridCol w:w="884"/>
        <w:gridCol w:w="884"/>
        <w:gridCol w:w="1261"/>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348" w:before="43" w:after="20"/>
              <w:jc w:val="center"/>
              <w:rPr>
                <w:rFonts w:ascii="Times New Roman;serif" w:hAnsi="Times New Roman;serif"/>
                <w:b/>
                <w:color w:val="000000"/>
                <w:sz w:val="20"/>
              </w:rPr>
            </w:pPr>
            <w:r>
              <w:rPr>
                <w:rFonts w:ascii="Times New Roman;serif" w:hAnsi="Times New Roman;serif"/>
                <w:b/>
                <w:color w:val="000000"/>
                <w:sz w:val="20"/>
              </w:rPr>
              <w:t>Delaware</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348" w:before="43" w:after="20"/>
              <w:jc w:val="center"/>
              <w:rPr>
                <w:rFonts w:ascii="Times New Roman;serif" w:hAnsi="Times New Roman;serif"/>
                <w:b/>
                <w:color w:val="000000"/>
                <w:sz w:val="20"/>
              </w:rPr>
            </w:pPr>
            <w:r>
              <w:rPr>
                <w:rFonts w:ascii="Times New Roman;serif" w:hAnsi="Times New Roman;serif"/>
                <w:b/>
                <w:color w:val="000000"/>
                <w:sz w:val="20"/>
              </w:rPr>
              <w:t>33-2905250</w:t>
            </w:r>
          </w:p>
        </w:tc>
      </w:tr>
      <w:tr>
        <w:trPr/>
        <w:tc>
          <w:tcPr>
            <w:tcW w:w="4965" w:type="dxa"/>
            <w:gridSpan w:val="3"/>
            <w:tcBorders/>
            <w:tcMar>
              <w:top w:w="0" w:type="dxa"/>
              <w:left w:w="0" w:type="dxa"/>
              <w:bottom w:w="0" w:type="dxa"/>
              <w:right w:w="0" w:type="dxa"/>
            </w:tcMar>
            <w:vAlign w:val="center"/>
          </w:tcPr>
          <w:p>
            <w:pPr>
              <w:pStyle w:val="TableContents"/>
              <w:bidi w:val="0"/>
              <w:spacing w:lineRule="auto" w:line="348" w:before="43" w:after="2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348" w:before="43" w:after="2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348" w:before="43" w:after="20"/>
              <w:jc w:val="center"/>
              <w:rPr>
                <w:rFonts w:ascii="Times New Roman;serif" w:hAnsi="Times New Roman;serif"/>
                <w:b/>
                <w:color w:val="000000"/>
                <w:sz w:val="20"/>
              </w:rPr>
            </w:pPr>
            <w:r>
              <w:rPr>
                <w:rFonts w:ascii="Times New Roman;serif" w:hAnsi="Times New Roman;serif"/>
                <w:b/>
                <w:color w:val="000000"/>
                <w:sz w:val="20"/>
              </w:rPr>
              <w:t>1601 Las Plumas Avenue</w:t>
            </w:r>
          </w:p>
          <w:p>
            <w:pPr>
              <w:pStyle w:val="TableContents"/>
              <w:bidi w:val="0"/>
              <w:spacing w:lineRule="auto" w:line="348" w:before="43" w:after="20"/>
              <w:jc w:val="center"/>
              <w:rPr>
                <w:rFonts w:ascii="Times New Roman;serif" w:hAnsi="Times New Roman;serif"/>
                <w:b/>
                <w:color w:val="000000"/>
                <w:sz w:val="20"/>
              </w:rPr>
            </w:pPr>
            <w:r>
              <w:rPr>
                <w:rFonts w:ascii="Times New Roman;serif" w:hAnsi="Times New Roman;serif"/>
                <w:b/>
                <w:color w:val="000000"/>
                <w:sz w:val="20"/>
              </w:rPr>
              <w:t>San Jose, CA</w:t>
            </w:r>
          </w:p>
        </w:tc>
        <w:tc>
          <w:tcPr>
            <w:tcW w:w="654" w:type="dxa"/>
            <w:gridSpan w:val="6"/>
            <w:tcBorders/>
            <w:tcMar>
              <w:top w:w="0" w:type="dxa"/>
              <w:left w:w="0" w:type="dxa"/>
              <w:bottom w:w="0" w:type="dxa"/>
              <w:right w:w="0" w:type="dxa"/>
            </w:tcMar>
            <w:vAlign w:val="center"/>
          </w:tcPr>
          <w:p>
            <w:pPr>
              <w:pStyle w:val="TableContents"/>
              <w:bidi w:val="0"/>
              <w:spacing w:before="43" w:after="20"/>
              <w:jc w:val="center"/>
              <w:rPr/>
            </w:pPr>
            <w:r>
              <w:rPr/>
            </w:r>
          </w:p>
        </w:tc>
        <w:tc>
          <w:tcPr>
            <w:tcW w:w="3029" w:type="dxa"/>
            <w:gridSpan w:val="3"/>
            <w:tcBorders/>
            <w:tcMar>
              <w:top w:w="0" w:type="dxa"/>
              <w:left w:w="0" w:type="dxa"/>
              <w:bottom w:w="0" w:type="dxa"/>
              <w:right w:w="0" w:type="dxa"/>
            </w:tcMar>
            <w:vAlign w:val="center"/>
          </w:tcPr>
          <w:p>
            <w:pPr>
              <w:pStyle w:val="TableContents"/>
              <w:bidi w:val="0"/>
              <w:spacing w:lineRule="auto" w:line="348" w:before="0" w:after="283"/>
              <w:jc w:val="center"/>
              <w:rPr>
                <w:rFonts w:ascii="Times New Roman;serif" w:hAnsi="Times New Roman;serif"/>
                <w:b/>
                <w:color w:val="000000"/>
                <w:sz w:val="20"/>
              </w:rPr>
            </w:pPr>
            <w:r>
              <w:rPr>
                <w:rFonts w:ascii="Times New Roman;serif" w:hAnsi="Times New Roman;serif"/>
                <w:b/>
                <w:color w:val="000000"/>
                <w:sz w:val="20"/>
              </w:rPr>
              <w:t>95133</w:t>
            </w:r>
          </w:p>
        </w:tc>
      </w:tr>
      <w:tr>
        <w:trPr/>
        <w:tc>
          <w:tcPr>
            <w:tcW w:w="4965" w:type="dxa"/>
            <w:gridSpan w:val="3"/>
            <w:tcBorders/>
            <w:tcMar>
              <w:top w:w="0" w:type="dxa"/>
              <w:left w:w="0" w:type="dxa"/>
              <w:bottom w:w="0" w:type="dxa"/>
              <w:right w:w="0" w:type="dxa"/>
            </w:tcMar>
            <w:vAlign w:val="center"/>
          </w:tcPr>
          <w:p>
            <w:pPr>
              <w:pStyle w:val="TableContents"/>
              <w:bidi w:val="0"/>
              <w:spacing w:lineRule="auto" w:line="348" w:before="43" w:after="2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348" w:before="43" w:after="20"/>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0"/>
        <w:jc w:val="center"/>
        <w:rPr>
          <w:rFonts w:ascii="Times New Roman;serif" w:hAnsi="Times New Roman;serif"/>
          <w:b/>
          <w:color w:val="181717"/>
          <w:sz w:val="20"/>
        </w:rPr>
      </w:pPr>
      <w:r>
        <w:rPr>
          <w:rFonts w:ascii="Times New Roman;serif" w:hAnsi="Times New Roman;serif"/>
          <w:b/>
          <w:color w:val="181717"/>
          <w:sz w:val="20"/>
        </w:rPr>
        <w:t>(833) 534-3623</w:t>
      </w:r>
    </w:p>
    <w:p>
      <w:pPr>
        <w:pStyle w:val="TextBody"/>
        <w:bidi w:val="0"/>
        <w:spacing w:lineRule="auto" w:line="288" w:before="0" w:after="0"/>
        <w:jc w:val="center"/>
        <w:rPr>
          <w:rFonts w:ascii="Times New Roman;serif" w:hAnsi="Times New Roman;serif"/>
          <w:b w:val="false"/>
          <w:color w:val="181717"/>
          <w:sz w:val="20"/>
        </w:rPr>
      </w:pPr>
      <w:r>
        <w:rPr>
          <w:rFonts w:ascii="Times New Roman;serif" w:hAnsi="Times New Roman;serif"/>
          <w:b w:val="false"/>
          <w:color w:val="181717"/>
          <w:sz w:val="20"/>
        </w:rPr>
        <w:t>(Registrant’s telephone number, including area code)</w:t>
      </w:r>
    </w:p>
    <w:p>
      <w:pPr>
        <w:pStyle w:val="TextBody"/>
        <w:bidi w:val="0"/>
        <w:spacing w:lineRule="auto" w:line="288" w:before="120" w:after="283"/>
        <w:jc w:val="left"/>
        <w:rPr>
          <w:rFonts w:ascii="Times New Roman;serif" w:hAnsi="Times New Roman;serif"/>
          <w:b w:val="false"/>
          <w:color w:val="181717"/>
          <w:sz w:val="20"/>
        </w:rPr>
      </w:pPr>
      <w:r>
        <w:rPr>
          <w:rFonts w:ascii="Times New Roman;serif" w:hAnsi="Times New Roman;serif"/>
          <w:b w:val="false"/>
          <w:color w:val="181717"/>
          <w:sz w:val="20"/>
        </w:rPr>
        <w:t>Securities registered pursuant to Section 12(b) of the Act:</w:t>
      </w:r>
    </w:p>
    <w:tbl>
      <w:tblPr>
        <w:tblW w:w="9403" w:type="dxa"/>
        <w:jc w:val="left"/>
        <w:tblInd w:w="0" w:type="dxa"/>
        <w:tblLayout w:type="fixed"/>
        <w:tblCellMar>
          <w:top w:w="28" w:type="dxa"/>
          <w:left w:w="28" w:type="dxa"/>
          <w:bottom w:w="28" w:type="dxa"/>
          <w:right w:w="28" w:type="dxa"/>
        </w:tblCellMar>
      </w:tblPr>
      <w:tblGrid>
        <w:gridCol w:w="1477"/>
        <w:gridCol w:w="1293"/>
        <w:gridCol w:w="1309"/>
        <w:gridCol w:w="539"/>
        <w:gridCol w:w="539"/>
        <w:gridCol w:w="541"/>
        <w:gridCol w:w="1085"/>
        <w:gridCol w:w="1085"/>
        <w:gridCol w:w="1535"/>
      </w:tblGrid>
      <w:tr>
        <w:trPr/>
        <w:tc>
          <w:tcPr>
            <w:tcW w:w="1477"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48" w:before="23" w:after="20"/>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48" w:before="23" w:after="20"/>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48" w:before="23" w:after="20"/>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407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348" w:before="23" w:after="20"/>
              <w:jc w:val="center"/>
              <w:rPr>
                <w:rFonts w:ascii="Times New Roman;serif" w:hAnsi="Times New Roman;serif"/>
                <w:b w:val="false"/>
                <w:color w:val="000000"/>
                <w:sz w:val="20"/>
              </w:rPr>
            </w:pPr>
            <w:r>
              <w:rPr>
                <w:rFonts w:ascii="Times New Roman;serif" w:hAnsi="Times New Roman;serif"/>
                <w:b w:val="false"/>
                <w:color w:val="000000"/>
                <w:sz w:val="20"/>
              </w:rPr>
              <w:t>Class A common stock, par value $0.01 per share</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348" w:before="23" w:after="20"/>
              <w:jc w:val="center"/>
              <w:rPr>
                <w:rFonts w:ascii="Times New Roman;serif" w:hAnsi="Times New Roman;serif"/>
                <w:b w:val="false"/>
                <w:color w:val="000000"/>
                <w:sz w:val="20"/>
              </w:rPr>
            </w:pPr>
            <w:r>
              <w:rPr>
                <w:rFonts w:ascii="Times New Roman;serif" w:hAnsi="Times New Roman;serif"/>
                <w:b w:val="false"/>
                <w:color w:val="000000"/>
                <w:sz w:val="20"/>
              </w:rPr>
              <w:t xml:space="preserve">LGN </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348" w:before="23" w:after="2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60" w:after="283"/>
        <w:jc w:val="left"/>
        <w:rPr>
          <w:rFonts w:ascii="Times New Roman;serif" w:hAnsi="Times New Roman;serif"/>
          <w:b w:val="false"/>
          <w:color w:val="181717"/>
          <w:sz w:val="20"/>
        </w:rPr>
      </w:pPr>
      <w:r>
        <w:rPr>
          <w:rFonts w:ascii="Times New Roman;serif" w:hAnsi="Times New Roman;serif"/>
          <w:b w:val="false"/>
          <w:color w:val="181717"/>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288" w:before="0" w:after="0"/>
        <w:jc w:val="right"/>
        <w:rPr/>
      </w:pPr>
      <w:r>
        <w:rPr>
          <w:rFonts w:ascii="Times New Roman;serif" w:hAnsi="Times New Roman;serif"/>
          <w:b w:val="false"/>
          <w:color w:val="181717"/>
          <w:sz w:val="20"/>
        </w:rPr>
        <w:t xml:space="preserve">Yes </w:t>
      </w:r>
      <w:r>
        <w:rPr>
          <w:rFonts w:ascii="Wingdings;sans-serif" w:hAnsi="Wingdings;sans-serif"/>
          <w:b w:val="false"/>
          <w:color w:val="181717"/>
          <w:sz w:val="20"/>
        </w:rPr>
        <w:t xml:space="preserve">x </w:t>
      </w:r>
      <w:r>
        <w:rPr>
          <w:rFonts w:ascii="Times New Roman;serif" w:hAnsi="Times New Roman;serif"/>
          <w:b w:val="false"/>
          <w:color w:val="181717"/>
          <w:sz w:val="20"/>
        </w:rPr>
        <w:t xml:space="preserve">No </w:t>
      </w:r>
      <w:r>
        <w:rPr>
          <w:rFonts w:ascii="Wingdings;sans-serif" w:hAnsi="Wingdings;sans-serif"/>
          <w:b w:val="false"/>
          <w:color w:val="181717"/>
          <w:sz w:val="20"/>
        </w:rPr>
        <w:t>o</w:t>
      </w:r>
    </w:p>
    <w:p>
      <w:pPr>
        <w:pStyle w:val="TextBody"/>
        <w:bidi w:val="0"/>
        <w:spacing w:lineRule="auto" w:line="288" w:before="60" w:after="283"/>
        <w:jc w:val="left"/>
        <w:rPr>
          <w:rFonts w:ascii="Times New Roman;serif" w:hAnsi="Times New Roman;serif"/>
          <w:b w:val="false"/>
          <w:color w:val="181717"/>
          <w:sz w:val="20"/>
        </w:rPr>
      </w:pPr>
      <w:r>
        <w:rPr>
          <w:rFonts w:ascii="Times New Roman;serif" w:hAnsi="Times New Roman;serif"/>
          <w:b w:val="false"/>
          <w:color w:val="181717"/>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pStyle w:val="TextBody"/>
        <w:bidi w:val="0"/>
        <w:spacing w:lineRule="auto" w:line="288" w:before="0" w:after="0"/>
        <w:jc w:val="right"/>
        <w:rPr/>
      </w:pPr>
      <w:r>
        <w:rPr>
          <w:rFonts w:ascii="Times New Roman;serif" w:hAnsi="Times New Roman;serif"/>
          <w:b w:val="false"/>
          <w:color w:val="181717"/>
          <w:sz w:val="20"/>
        </w:rPr>
        <w:t xml:space="preserve">Yes </w:t>
      </w:r>
      <w:r>
        <w:rPr>
          <w:rFonts w:ascii="Wingdings;sans-serif" w:hAnsi="Wingdings;sans-serif"/>
          <w:b w:val="false"/>
          <w:color w:val="181717"/>
          <w:sz w:val="20"/>
        </w:rPr>
        <w:t xml:space="preserve">x </w:t>
      </w:r>
      <w:r>
        <w:rPr>
          <w:rFonts w:ascii="Times New Roman;serif" w:hAnsi="Times New Roman;serif"/>
          <w:b w:val="false"/>
          <w:color w:val="181717"/>
          <w:sz w:val="20"/>
        </w:rPr>
        <w:t xml:space="preserve">No </w:t>
      </w:r>
      <w:r>
        <w:rPr>
          <w:rFonts w:ascii="Wingdings;sans-serif" w:hAnsi="Wingdings;sans-serif"/>
          <w:b w:val="false"/>
          <w:color w:val="181717"/>
          <w:sz w:val="20"/>
        </w:rPr>
        <w:t>o</w:t>
      </w:r>
    </w:p>
    <w:p>
      <w:pPr>
        <w:pStyle w:val="TextBody"/>
        <w:bidi w:val="0"/>
        <w:spacing w:lineRule="auto" w:line="288" w:before="0" w:after="0"/>
        <w:jc w:val="both"/>
        <w:rPr>
          <w:rFonts w:ascii="Times New Roman;serif" w:hAnsi="Times New Roman;serif"/>
          <w:b w:val="false"/>
          <w:color w:val="181717"/>
          <w:sz w:val="20"/>
        </w:rPr>
      </w:pPr>
      <w:r>
        <w:rPr>
          <w:rFonts w:ascii="Times New Roman;serif" w:hAnsi="Times New Roman;serif"/>
          <w:b w:val="false"/>
          <w:color w:val="181717"/>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company,”and "emerging growth company" in Rule 12b-2 of the Exchange 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60655"/>
                <wp:effectExtent l="0" t="0" r="0" b="0"/>
                <wp:wrapNone/>
                <wp:docPr id="1" name="Frame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txbxContent>
                </v:textbox>
                <w10:wrap type="none"/>
              </v:rect>
            </w:pict>
          </mc:Fallback>
        </mc:AlternateContent>
      </w:r>
    </w:p>
    <w:p>
      <w:pPr>
        <w:pStyle w:val="TextBody"/>
        <w:bidi w:val="0"/>
        <w:spacing w:before="0" w:after="233"/>
        <w:ind w:left="0" w:right="0" w:hanging="10"/>
        <w:jc w:val="both"/>
        <w:rPr/>
      </w:pPr>
      <w:r>
        <w:rPr/>
      </w:r>
    </w:p>
    <w:tbl>
      <w:tblPr>
        <w:tblW w:w="5255"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348" w:before="43" w:after="20"/>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348" w:before="43" w:after="2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348" w:before="43" w:after="20"/>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348" w:before="43" w:after="20"/>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348" w:before="43" w:after="20"/>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348" w:before="0" w:after="0"/>
              <w:jc w:val="left"/>
              <w:rPr>
                <w:rFonts w:ascii="Wingdings;sans-serif" w:hAnsi="Wingdings;sans-serif"/>
                <w:b/>
                <w:color w:val="181717"/>
                <w:sz w:val="20"/>
              </w:rPr>
            </w:pPr>
            <w:r>
              <w:rPr>
                <w:rFonts w:ascii="Wingdings;sans-serif" w:hAnsi="Wingdings;sans-serif"/>
                <w:b/>
                <w:color w:val="181717"/>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348" w:before="43" w:after="20"/>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348" w:before="43" w:after="20"/>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348" w:before="43" w:after="20"/>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348" w:before="43" w:after="20"/>
              <w:jc w:val="left"/>
              <w:rPr>
                <w:color w:val="000000"/>
              </w:rPr>
            </w:pPr>
            <w:r>
              <w:rPr>
                <w:color w:val="000000"/>
              </w:rPr>
              <w:t>☐</w:t>
            </w:r>
          </w:p>
        </w:tc>
      </w:tr>
    </w:tbl>
    <w:p>
      <w:pPr>
        <w:pStyle w:val="TextBody"/>
        <w:bidi w:val="0"/>
        <w:spacing w:lineRule="auto" w:line="288" w:before="0" w:after="0"/>
        <w:jc w:val="left"/>
        <w:rPr>
          <w:rFonts w:ascii="Times New Roman;serif" w:hAnsi="Times New Roman;serif"/>
          <w:b w:val="false"/>
          <w:color w:val="181717"/>
          <w:sz w:val="20"/>
        </w:rPr>
      </w:pPr>
      <w:r>
        <w:rPr>
          <w:rFonts w:ascii="Times New Roman;serif" w:hAnsi="Times New Roman;serif"/>
          <w:b w:val="false"/>
          <w:color w:val="181717"/>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spacing w:lineRule="auto" w:line="288" w:before="0" w:after="0"/>
        <w:jc w:val="right"/>
        <w:rPr>
          <w:rFonts w:ascii="Wingdings;sans-serif" w:hAnsi="Wingdings;sans-serif"/>
          <w:b w:val="false"/>
          <w:color w:val="181717"/>
          <w:sz w:val="20"/>
        </w:rPr>
      </w:pPr>
      <w:r>
        <w:rPr>
          <w:rFonts w:ascii="Wingdings;sans-serif" w:hAnsi="Wingdings;sans-serif"/>
          <w:b w:val="false"/>
          <w:color w:val="181717"/>
          <w:sz w:val="20"/>
        </w:rPr>
        <w:t>o</w:t>
      </w:r>
    </w:p>
    <w:p>
      <w:pPr>
        <w:pStyle w:val="TextBody"/>
        <w:bidi w:val="0"/>
        <w:spacing w:lineRule="auto" w:line="288" w:before="60" w:after="283"/>
        <w:jc w:val="left"/>
        <w:rPr>
          <w:rFonts w:ascii="Times New Roman;serif" w:hAnsi="Times New Roman;serif"/>
          <w:b w:val="false"/>
          <w:color w:val="181717"/>
          <w:sz w:val="20"/>
        </w:rPr>
      </w:pPr>
      <w:r>
        <w:rPr>
          <w:rFonts w:ascii="Times New Roman;serif" w:hAnsi="Times New Roman;serif"/>
          <w:b w:val="false"/>
          <w:color w:val="181717"/>
          <w:sz w:val="20"/>
        </w:rPr>
        <w:t>Indicate by check mark whether the registrant is a shell company (as defined in Rule 12b-2 of the Act).</w:t>
      </w:r>
    </w:p>
    <w:p>
      <w:pPr>
        <w:pStyle w:val="TextBody"/>
        <w:bidi w:val="0"/>
        <w:spacing w:lineRule="auto" w:line="288" w:before="0" w:after="0"/>
        <w:jc w:val="right"/>
        <w:rPr/>
      </w:pPr>
      <w:r>
        <w:rPr>
          <w:rFonts w:ascii="Times New Roman;serif" w:hAnsi="Times New Roman;serif"/>
          <w:b w:val="false"/>
          <w:color w:val="181717"/>
          <w:sz w:val="20"/>
        </w:rPr>
        <w:t xml:space="preserve">Yes </w:t>
      </w:r>
      <w:r>
        <w:rPr>
          <w:rFonts w:ascii="Wingdings;sans-serif" w:hAnsi="Wingdings;sans-serif"/>
          <w:b w:val="false"/>
          <w:color w:val="181717"/>
          <w:sz w:val="20"/>
        </w:rPr>
        <w:t xml:space="preserve">o </w:t>
      </w:r>
      <w:r>
        <w:rPr>
          <w:rFonts w:ascii="Times New Roman;serif" w:hAnsi="Times New Roman;serif"/>
          <w:b w:val="false"/>
          <w:color w:val="181717"/>
          <w:sz w:val="20"/>
        </w:rPr>
        <w:t xml:space="preserve">No </w:t>
      </w:r>
      <w:r>
        <w:rPr>
          <w:rFonts w:ascii="Wingdings;sans-serif" w:hAnsi="Wingdings;sans-serif"/>
          <w:b w:val="false"/>
          <w:color w:val="181717"/>
          <w:sz w:val="20"/>
        </w:rPr>
        <w:t>x</w:t>
      </w:r>
    </w:p>
    <w:p>
      <w:pPr>
        <w:pStyle w:val="TextBody"/>
        <w:bidi w:val="0"/>
        <w:spacing w:lineRule="auto" w:line="288" w:before="120" w:after="283"/>
        <w:jc w:val="left"/>
        <w:rPr/>
      </w:pPr>
      <w:r>
        <w:rPr>
          <w:rFonts w:ascii="Times New Roman;serif" w:hAnsi="Times New Roman;serif"/>
          <w:b w:val="false"/>
          <w:color w:val="000000"/>
          <w:sz w:val="20"/>
        </w:rPr>
        <w:t>As of May 11, 2026</w:t>
      </w:r>
      <w:r>
        <w:rPr>
          <w:rFonts w:ascii="Times New Roman;serif" w:hAnsi="Times New Roman;serif"/>
          <w:b w:val="false"/>
          <w:color w:val="181717"/>
          <w:sz w:val="20"/>
        </w:rPr>
        <w:t>, there were 108,037,932 shares of total common stock of the Registrant outstanding, including 76,866,798 shares of Class A common stock, par value $0.01 per share, and 31,171,134 shares of Class B common stock, par value $0.01 per share.</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60655"/>
                <wp:effectExtent l="0" t="0" r="0" b="0"/>
                <wp:wrapNone/>
                <wp:docPr id="2" name="Frame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59"/>
        <w:gridCol w:w="664"/>
        <w:gridCol w:w="664"/>
        <w:gridCol w:w="2702"/>
        <w:gridCol w:w="2497"/>
        <w:gridCol w:w="2543"/>
        <w:gridCol w:w="109"/>
        <w:gridCol w:w="109"/>
        <w:gridCol w:w="158"/>
      </w:tblGrid>
      <w:tr>
        <w:trPr/>
        <w:tc>
          <w:tcPr>
            <w:tcW w:w="759"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c>
          <w:tcPr>
            <w:tcW w:w="2497" w:type="dxa"/>
            <w:tcBorders/>
            <w:vAlign w:val="center"/>
          </w:tcPr>
          <w:p>
            <w:pPr>
              <w:pStyle w:val="TableContents"/>
              <w:bidi w:val="0"/>
              <w:spacing w:before="0" w:after="283"/>
              <w:jc w:val="left"/>
              <w:rPr>
                <w:sz w:val="4"/>
                <w:szCs w:val="4"/>
              </w:rPr>
            </w:pPr>
            <w:r>
              <w:rPr>
                <w:sz w:val="4"/>
                <w:szCs w:val="4"/>
              </w:rPr>
            </w:r>
          </w:p>
        </w:tc>
        <w:tc>
          <w:tcPr>
            <w:tcW w:w="25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829"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536dfd1a65fa4690be58666b4d51052e_2045">
              <w:r>
                <w:rPr>
                  <w:rStyle w:val="InternetLink"/>
                  <w:rFonts w:ascii="Times New Roman;serif" w:hAnsi="Times New Roman;serif"/>
                  <w:b/>
                  <w:strike w:val="false"/>
                  <w:dstrike w:val="false"/>
                  <w:color w:val="000000"/>
                  <w:sz w:val="20"/>
                  <w:u w:val="none"/>
                  <w:effect w:val="none"/>
                </w:rPr>
                <w:t>Cautionary Statement Regarding Forward-Looking Statements</w:t>
              </w:r>
            </w:hyperlink>
          </w:p>
        </w:tc>
        <w:tc>
          <w:tcPr>
            <w:tcW w:w="3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36dfd1a65fa4690be58666b4d51052e_2045">
              <w:r>
                <w:rPr>
                  <w:rStyle w:val="InternetLink"/>
                  <w:rFonts w:ascii="Times New Roman;serif" w:hAnsi="Times New Roman;serif"/>
                  <w:b w:val="false"/>
                  <w:strike w:val="false"/>
                  <w:dstrike w:val="false"/>
                  <w:color w:val="000000"/>
                  <w:sz w:val="20"/>
                  <w:u w:val="none"/>
                  <w:effect w:val="none"/>
                </w:rPr>
                <w:t>4</w:t>
              </w:r>
            </w:hyperlink>
          </w:p>
        </w:tc>
      </w:tr>
      <w:tr>
        <w:trPr/>
        <w:tc>
          <w:tcPr>
            <w:tcW w:w="9829"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536dfd1a65fa4690be58666b4d51052e_10">
              <w:r>
                <w:rPr>
                  <w:rStyle w:val="InternetLink"/>
                  <w:rFonts w:ascii="Times New Roman;serif" w:hAnsi="Times New Roman;serif"/>
                  <w:b/>
                  <w:strike w:val="false"/>
                  <w:dstrike w:val="false"/>
                  <w:color w:val="000000"/>
                  <w:sz w:val="20"/>
                  <w:u w:val="none"/>
                  <w:effect w:val="none"/>
                </w:rPr>
                <w:t>Part I. Financial Information</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36dfd1a65fa4690be58666b4d51052e_859">
              <w:r>
                <w:rPr>
                  <w:rStyle w:val="InternetLink"/>
                  <w:rFonts w:ascii="Times New Roman;serif" w:hAnsi="Times New Roman;serif"/>
                  <w:b w:val="false"/>
                  <w:strike w:val="false"/>
                  <w:dstrike w:val="false"/>
                  <w:color w:val="000000"/>
                  <w:sz w:val="20"/>
                  <w:u w:val="none"/>
                  <w:effect w:val="none"/>
                </w:rPr>
                <w:t>Item 1.</w:t>
              </w:r>
            </w:hyperlink>
          </w:p>
        </w:tc>
        <w:tc>
          <w:tcPr>
            <w:tcW w:w="774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36dfd1a65fa4690be58666b4d51052e_859">
              <w:r>
                <w:rPr>
                  <w:rStyle w:val="InternetLink"/>
                  <w:rFonts w:ascii="Times New Roman;serif" w:hAnsi="Times New Roman;serif"/>
                  <w:b w:val="false"/>
                  <w:strike w:val="false"/>
                  <w:dstrike w:val="false"/>
                  <w:color w:val="000000"/>
                  <w:sz w:val="20"/>
                  <w:u w:val="none"/>
                  <w:effect w:val="none"/>
                </w:rPr>
                <w:t>Financial Statements</w:t>
              </w:r>
            </w:hyperlink>
          </w:p>
        </w:tc>
        <w:tc>
          <w:tcPr>
            <w:tcW w:w="3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36dfd1a65fa4690be58666b4d51052e_859">
              <w:r>
                <w:rPr>
                  <w:rStyle w:val="InternetLink"/>
                  <w:rFonts w:ascii="Times New Roman;serif" w:hAnsi="Times New Roman;serif"/>
                  <w:b w:val="false"/>
                  <w:strike w:val="false"/>
                  <w:dstrike w:val="false"/>
                  <w:color w:val="000000"/>
                  <w:sz w:val="20"/>
                  <w:u w:val="none"/>
                  <w:effect w:val="none"/>
                </w:rPr>
                <w:t>6</w:t>
              </w:r>
            </w:hyperlink>
          </w:p>
        </w:tc>
      </w:tr>
      <w:tr>
        <w:trPr/>
        <w:tc>
          <w:tcPr>
            <w:tcW w:w="2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36dfd1a65fa4690be58666b4d51052e_840">
              <w:r>
                <w:rPr>
                  <w:rStyle w:val="InternetLink"/>
                  <w:rFonts w:ascii="Times New Roman;serif" w:hAnsi="Times New Roman;serif"/>
                  <w:b w:val="false"/>
                  <w:strike w:val="false"/>
                  <w:dstrike w:val="false"/>
                  <w:color w:val="000000"/>
                  <w:sz w:val="20"/>
                  <w:u w:val="none"/>
                  <w:effect w:val="none"/>
                </w:rPr>
                <w:t>Condensed Consolidated Balance Sheets</w:t>
              </w:r>
            </w:hyperlink>
            <w:r>
              <w:rPr>
                <w:rFonts w:ascii="Times New Roman;serif" w:hAnsi="Times New Roman;serif"/>
                <w:b w:val="false"/>
                <w:color w:val="000000"/>
                <w:sz w:val="20"/>
              </w:rPr>
              <w:t xml:space="preserve"> (Unaudited) as of March 31, 2026 and December 31, 2025</w:t>
            </w:r>
          </w:p>
        </w:tc>
        <w:tc>
          <w:tcPr>
            <w:tcW w:w="3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36dfd1a65fa4690be58666b4d51052e_840">
              <w:r>
                <w:rPr>
                  <w:rStyle w:val="InternetLink"/>
                  <w:rFonts w:ascii="Times New Roman;serif" w:hAnsi="Times New Roman;serif"/>
                  <w:b w:val="false"/>
                  <w:strike w:val="false"/>
                  <w:dstrike w:val="false"/>
                  <w:color w:val="000000"/>
                  <w:sz w:val="20"/>
                  <w:u w:val="none"/>
                  <w:effect w:val="none"/>
                </w:rPr>
                <w:t>6</w:t>
              </w:r>
            </w:hyperlink>
          </w:p>
        </w:tc>
      </w:tr>
      <w:tr>
        <w:trPr/>
        <w:tc>
          <w:tcPr>
            <w:tcW w:w="2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36dfd1a65fa4690be58666b4d51052e_13">
              <w:r>
                <w:rPr>
                  <w:rStyle w:val="InternetLink"/>
                  <w:rFonts w:ascii="Times New Roman;serif" w:hAnsi="Times New Roman;serif"/>
                  <w:b w:val="false"/>
                  <w:strike w:val="false"/>
                  <w:dstrike w:val="false"/>
                  <w:color w:val="000080"/>
                  <w:sz w:val="20"/>
                  <w:u w:val="single"/>
                  <w:effect w:val="none"/>
                </w:rPr>
                <w:t>Condensed Consolidated Statement</w:t>
              </w:r>
            </w:hyperlink>
            <w:hyperlink w:anchor="i536dfd1a65fa4690be58666b4d51052e_13">
              <w:r>
                <w:rPr>
                  <w:rStyle w:val="InternetLink"/>
                  <w:rFonts w:ascii="Times New Roman;serif" w:hAnsi="Times New Roman;serif"/>
                  <w:b w:val="false"/>
                  <w:strike w:val="false"/>
                  <w:dstrike w:val="false"/>
                  <w:color w:val="000080"/>
                  <w:sz w:val="20"/>
                  <w:u w:val="single"/>
                  <w:effect w:val="none"/>
                </w:rPr>
                <w:t>s</w:t>
              </w:r>
            </w:hyperlink>
            <w:hyperlink w:anchor="i536dfd1a65fa4690be58666b4d51052e_13">
              <w:r>
                <w:rPr>
                  <w:rStyle w:val="InternetLink"/>
                  <w:rFonts w:ascii="Times New Roman;serif" w:hAnsi="Times New Roman;serif"/>
                  <w:b w:val="false"/>
                  <w:strike w:val="false"/>
                  <w:dstrike w:val="false"/>
                  <w:color w:val="000080"/>
                  <w:sz w:val="20"/>
                  <w:u w:val="single"/>
                  <w:effect w:val="none"/>
                </w:rPr>
                <w:t xml:space="preserve"> of Operations</w:t>
              </w:r>
            </w:hyperlink>
            <w:r>
              <w:rPr>
                <w:rFonts w:ascii="Times New Roman;serif" w:hAnsi="Times New Roman;serif"/>
                <w:b w:val="false"/>
                <w:color w:val="000000"/>
                <w:sz w:val="20"/>
              </w:rPr>
              <w:t xml:space="preserve"> (Unaudited) for the Three Months Ended March 31, 2026 and 2025</w:t>
            </w:r>
          </w:p>
        </w:tc>
        <w:tc>
          <w:tcPr>
            <w:tcW w:w="3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36dfd1a65fa4690be58666b4d51052e_13">
              <w:r>
                <w:rPr>
                  <w:rStyle w:val="InternetLink"/>
                  <w:rFonts w:ascii="Times New Roman;serif" w:hAnsi="Times New Roman;serif"/>
                  <w:b w:val="false"/>
                  <w:strike w:val="false"/>
                  <w:dstrike w:val="false"/>
                  <w:color w:val="000000"/>
                  <w:sz w:val="20"/>
                  <w:u w:val="none"/>
                  <w:effect w:val="none"/>
                </w:rPr>
                <w:t>7</w:t>
              </w:r>
            </w:hyperlink>
          </w:p>
        </w:tc>
      </w:tr>
      <w:tr>
        <w:trPr/>
        <w:tc>
          <w:tcPr>
            <w:tcW w:w="2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36dfd1a65fa4690be58666b4d51052e_16">
              <w:r>
                <w:rPr>
                  <w:rStyle w:val="InternetLink"/>
                  <w:rFonts w:ascii="Times New Roman;serif" w:hAnsi="Times New Roman;serif"/>
                  <w:b w:val="false"/>
                  <w:strike w:val="false"/>
                  <w:dstrike w:val="false"/>
                  <w:color w:val="000000"/>
                  <w:sz w:val="20"/>
                  <w:u w:val="none"/>
                  <w:effect w:val="none"/>
                </w:rPr>
                <w:t xml:space="preserve">Condensed Consolidated Statements of Comprehensive </w:t>
              </w:r>
            </w:hyperlink>
            <w:r>
              <w:rPr>
                <w:rFonts w:ascii="Times New Roman;serif" w:hAnsi="Times New Roman;serif"/>
                <w:b w:val="false"/>
                <w:color w:val="000000"/>
                <w:sz w:val="20"/>
              </w:rPr>
              <w:t>Income (Loss) (Unaudited) for the Three Months Ended March 31, 2026 and 2025</w:t>
            </w:r>
          </w:p>
        </w:tc>
        <w:tc>
          <w:tcPr>
            <w:tcW w:w="3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36dfd1a65fa4690be58666b4d51052e_16">
              <w:r>
                <w:rPr>
                  <w:rStyle w:val="InternetLink"/>
                  <w:rFonts w:ascii="Times New Roman;serif" w:hAnsi="Times New Roman;serif"/>
                  <w:b w:val="false"/>
                  <w:strike w:val="false"/>
                  <w:dstrike w:val="false"/>
                  <w:color w:val="000000"/>
                  <w:sz w:val="20"/>
                  <w:u w:val="none"/>
                  <w:effect w:val="none"/>
                </w:rPr>
                <w:t>8</w:t>
              </w:r>
            </w:hyperlink>
          </w:p>
        </w:tc>
      </w:tr>
      <w:tr>
        <w:trPr/>
        <w:tc>
          <w:tcPr>
            <w:tcW w:w="2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36dfd1a65fa4690be58666b4d51052e_19">
              <w:r>
                <w:rPr>
                  <w:rStyle w:val="InternetLink"/>
                  <w:rFonts w:ascii="Times New Roman;serif" w:hAnsi="Times New Roman;serif"/>
                  <w:b w:val="false"/>
                  <w:strike w:val="false"/>
                  <w:dstrike w:val="false"/>
                  <w:color w:val="000000"/>
                  <w:sz w:val="20"/>
                  <w:u w:val="none"/>
                  <w:effect w:val="none"/>
                </w:rPr>
                <w:t>Condensed Consolidated Statements of Changes in Equity</w:t>
              </w:r>
            </w:hyperlink>
            <w:r>
              <w:rPr>
                <w:rFonts w:ascii="Times New Roman;serif" w:hAnsi="Times New Roman;serif"/>
                <w:b w:val="false"/>
                <w:color w:val="000000"/>
                <w:sz w:val="20"/>
              </w:rPr>
              <w:t xml:space="preserve"> (Unaudited) for the Three Months Ended March 31, 2026 and 2025</w:t>
            </w:r>
          </w:p>
        </w:tc>
        <w:tc>
          <w:tcPr>
            <w:tcW w:w="3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36dfd1a65fa4690be58666b4d51052e_19">
              <w:r>
                <w:rPr>
                  <w:rStyle w:val="InternetLink"/>
                  <w:rFonts w:ascii="Times New Roman;serif" w:hAnsi="Times New Roman;serif"/>
                  <w:b w:val="false"/>
                  <w:strike w:val="false"/>
                  <w:dstrike w:val="false"/>
                  <w:color w:val="000000"/>
                  <w:sz w:val="20"/>
                  <w:u w:val="none"/>
                  <w:effect w:val="none"/>
                </w:rPr>
                <w:t>9</w:t>
              </w:r>
            </w:hyperlink>
          </w:p>
        </w:tc>
      </w:tr>
      <w:tr>
        <w:trPr/>
        <w:tc>
          <w:tcPr>
            <w:tcW w:w="2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36dfd1a65fa4690be58666b4d51052e_22">
              <w:r>
                <w:rPr>
                  <w:rStyle w:val="InternetLink"/>
                  <w:rFonts w:ascii="Times New Roman;serif" w:hAnsi="Times New Roman;serif"/>
                  <w:b w:val="false"/>
                  <w:strike w:val="false"/>
                  <w:dstrike w:val="false"/>
                  <w:color w:val="000000"/>
                  <w:sz w:val="20"/>
                  <w:u w:val="none"/>
                  <w:effect w:val="none"/>
                </w:rPr>
                <w:t>Condensed Consolidated Statements of Cash Flows</w:t>
              </w:r>
            </w:hyperlink>
            <w:r>
              <w:rPr>
                <w:rFonts w:ascii="Times New Roman;serif" w:hAnsi="Times New Roman;serif"/>
                <w:b w:val="false"/>
                <w:color w:val="000000"/>
                <w:sz w:val="20"/>
              </w:rPr>
              <w:t xml:space="preserve"> (Unaudited) for the Three Months Ended March 31, 2026 and 2025</w:t>
            </w:r>
          </w:p>
        </w:tc>
        <w:tc>
          <w:tcPr>
            <w:tcW w:w="3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36dfd1a65fa4690be58666b4d51052e_22">
              <w:r>
                <w:rPr>
                  <w:rStyle w:val="InternetLink"/>
                  <w:rFonts w:ascii="Times New Roman;serif" w:hAnsi="Times New Roman;serif"/>
                  <w:b w:val="false"/>
                  <w:strike w:val="false"/>
                  <w:dstrike w:val="false"/>
                  <w:color w:val="000000"/>
                  <w:sz w:val="20"/>
                  <w:u w:val="none"/>
                  <w:effect w:val="none"/>
                </w:rPr>
                <w:t>10</w:t>
              </w:r>
            </w:hyperlink>
          </w:p>
        </w:tc>
      </w:tr>
      <w:tr>
        <w:trPr/>
        <w:tc>
          <w:tcPr>
            <w:tcW w:w="2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36dfd1a65fa4690be58666b4d51052e_25">
              <w:r>
                <w:rPr>
                  <w:rStyle w:val="InternetLink"/>
                  <w:rFonts w:ascii="Times New Roman;serif" w:hAnsi="Times New Roman;serif"/>
                  <w:b w:val="false"/>
                  <w:strike w:val="false"/>
                  <w:dstrike w:val="false"/>
                  <w:color w:val="000000"/>
                  <w:sz w:val="20"/>
                  <w:u w:val="none"/>
                  <w:effect w:val="none"/>
                </w:rPr>
                <w:t>Notes to the Condensed Consolidated Financial Statements</w:t>
              </w:r>
            </w:hyperlink>
            <w:r>
              <w:rPr>
                <w:rFonts w:ascii="Times New Roman;serif" w:hAnsi="Times New Roman;serif"/>
                <w:b w:val="false"/>
                <w:color w:val="000000"/>
                <w:sz w:val="20"/>
              </w:rPr>
              <w:t xml:space="preserve"> (Unaudited)</w:t>
            </w:r>
          </w:p>
        </w:tc>
        <w:tc>
          <w:tcPr>
            <w:tcW w:w="3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36dfd1a65fa4690be58666b4d51052e_25">
              <w:r>
                <w:rPr>
                  <w:rStyle w:val="InternetLink"/>
                  <w:rFonts w:ascii="Times New Roman;serif" w:hAnsi="Times New Roman;serif"/>
                  <w:b w:val="false"/>
                  <w:strike w:val="false"/>
                  <w:dstrike w:val="false"/>
                  <w:color w:val="000000"/>
                  <w:sz w:val="20"/>
                  <w:u w:val="none"/>
                  <w:effect w:val="none"/>
                </w:rPr>
                <w:t>11</w:t>
              </w:r>
            </w:hyperlink>
          </w:p>
        </w:tc>
      </w:tr>
      <w:tr>
        <w:trPr/>
        <w:tc>
          <w:tcPr>
            <w:tcW w:w="208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36dfd1a65fa4690be58666b4d51052e_1481">
              <w:r>
                <w:rPr>
                  <w:rStyle w:val="InternetLink"/>
                  <w:rFonts w:ascii="Times New Roman;serif" w:hAnsi="Times New Roman;serif"/>
                  <w:b w:val="false"/>
                  <w:strike w:val="false"/>
                  <w:dstrike w:val="false"/>
                  <w:color w:val="000000"/>
                  <w:sz w:val="20"/>
                  <w:u w:val="none"/>
                  <w:effect w:val="none"/>
                </w:rPr>
                <w:t>Item 2</w:t>
              </w:r>
            </w:hyperlink>
            <w:r>
              <w:rPr>
                <w:rFonts w:ascii="Times New Roman;serif" w:hAnsi="Times New Roman;serif"/>
                <w:b w:val="false"/>
                <w:color w:val="000000"/>
                <w:sz w:val="20"/>
              </w:rPr>
              <w:t>.</w:t>
            </w:r>
          </w:p>
        </w:tc>
        <w:tc>
          <w:tcPr>
            <w:tcW w:w="774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36dfd1a65fa4690be58666b4d51052e_1481">
              <w:r>
                <w:rPr>
                  <w:rStyle w:val="InternetLink"/>
                  <w:rFonts w:ascii="Times New Roman;serif" w:hAnsi="Times New Roman;serif"/>
                  <w:b w:val="false"/>
                  <w:strike w:val="false"/>
                  <w:dstrike w:val="false"/>
                  <w:color w:val="000000"/>
                  <w:sz w:val="20"/>
                  <w:u w:val="none"/>
                  <w:effect w:val="none"/>
                </w:rPr>
                <w:t>Management’s Discussion and Analysis of Financial Condition and Results of Operations</w:t>
              </w:r>
            </w:hyperlink>
          </w:p>
        </w:tc>
        <w:tc>
          <w:tcPr>
            <w:tcW w:w="3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36dfd1a65fa4690be58666b4d51052e_1481">
              <w:r>
                <w:rPr>
                  <w:rStyle w:val="InternetLink"/>
                  <w:rFonts w:ascii="Times New Roman;serif" w:hAnsi="Times New Roman;serif"/>
                  <w:b w:val="false"/>
                  <w:strike w:val="false"/>
                  <w:dstrike w:val="false"/>
                  <w:color w:val="000000"/>
                  <w:sz w:val="20"/>
                  <w:u w:val="none"/>
                  <w:effect w:val="none"/>
                </w:rPr>
                <w:t>35</w:t>
              </w:r>
            </w:hyperlink>
          </w:p>
        </w:tc>
      </w:tr>
      <w:tr>
        <w:trPr/>
        <w:tc>
          <w:tcPr>
            <w:tcW w:w="208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36dfd1a65fa4690be58666b4d51052e_1777">
              <w:r>
                <w:rPr>
                  <w:rStyle w:val="InternetLink"/>
                  <w:rFonts w:ascii="Times New Roman;serif" w:hAnsi="Times New Roman;serif"/>
                  <w:b w:val="false"/>
                  <w:strike w:val="false"/>
                  <w:dstrike w:val="false"/>
                  <w:color w:val="000000"/>
                  <w:sz w:val="20"/>
                  <w:u w:val="none"/>
                  <w:effect w:val="none"/>
                </w:rPr>
                <w:t xml:space="preserve">Item </w:t>
              </w:r>
            </w:hyperlink>
            <w:r>
              <w:rPr>
                <w:rFonts w:ascii="Times New Roman;serif" w:hAnsi="Times New Roman;serif"/>
                <w:b w:val="false"/>
                <w:color w:val="000000"/>
                <w:sz w:val="20"/>
              </w:rPr>
              <w:t xml:space="preserve">3. </w:t>
            </w:r>
          </w:p>
        </w:tc>
        <w:tc>
          <w:tcPr>
            <w:tcW w:w="774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36dfd1a65fa4690be58666b4d51052e_1777">
              <w:r>
                <w:rPr>
                  <w:rStyle w:val="InternetLink"/>
                  <w:rFonts w:ascii="Times New Roman;serif" w:hAnsi="Times New Roman;serif"/>
                  <w:b w:val="false"/>
                  <w:strike w:val="false"/>
                  <w:dstrike w:val="false"/>
                  <w:color w:val="000000"/>
                  <w:sz w:val="20"/>
                  <w:u w:val="none"/>
                  <w:effect w:val="none"/>
                </w:rPr>
                <w:t>Quantitative and Qualitative Disclosures About Market Risk</w:t>
              </w:r>
            </w:hyperlink>
          </w:p>
        </w:tc>
        <w:tc>
          <w:tcPr>
            <w:tcW w:w="3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36dfd1a65fa4690be58666b4d51052e_1777">
              <w:r>
                <w:rPr>
                  <w:rStyle w:val="InternetLink"/>
                  <w:rFonts w:ascii="Times New Roman;serif" w:hAnsi="Times New Roman;serif"/>
                  <w:b w:val="false"/>
                  <w:strike w:val="false"/>
                  <w:dstrike w:val="false"/>
                  <w:color w:val="000000"/>
                  <w:sz w:val="20"/>
                  <w:u w:val="none"/>
                  <w:effect w:val="none"/>
                </w:rPr>
                <w:t>49</w:t>
              </w:r>
            </w:hyperlink>
          </w:p>
        </w:tc>
      </w:tr>
      <w:tr>
        <w:trPr/>
        <w:tc>
          <w:tcPr>
            <w:tcW w:w="208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36dfd1a65fa4690be58666b4d51052e_2030">
              <w:r>
                <w:rPr>
                  <w:rStyle w:val="InternetLink"/>
                  <w:rFonts w:ascii="Times New Roman;serif" w:hAnsi="Times New Roman;serif"/>
                  <w:b w:val="false"/>
                  <w:strike w:val="false"/>
                  <w:dstrike w:val="false"/>
                  <w:color w:val="000000"/>
                  <w:sz w:val="20"/>
                  <w:u w:val="none"/>
                  <w:effect w:val="none"/>
                </w:rPr>
                <w:t xml:space="preserve">Item </w:t>
              </w:r>
            </w:hyperlink>
            <w:r>
              <w:rPr>
                <w:rFonts w:ascii="Times New Roman;serif" w:hAnsi="Times New Roman;serif"/>
                <w:b w:val="false"/>
                <w:color w:val="000000"/>
                <w:sz w:val="20"/>
              </w:rPr>
              <w:t>4.</w:t>
            </w:r>
          </w:p>
        </w:tc>
        <w:tc>
          <w:tcPr>
            <w:tcW w:w="774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36dfd1a65fa4690be58666b4d51052e_2030">
              <w:r>
                <w:rPr>
                  <w:rStyle w:val="InternetLink"/>
                  <w:rFonts w:ascii="Times New Roman;serif" w:hAnsi="Times New Roman;serif"/>
                  <w:b w:val="false"/>
                  <w:strike w:val="false"/>
                  <w:dstrike w:val="false"/>
                  <w:color w:val="000000"/>
                  <w:sz w:val="20"/>
                  <w:u w:val="none"/>
                  <w:effect w:val="none"/>
                </w:rPr>
                <w:t>Controls and Procedures</w:t>
              </w:r>
            </w:hyperlink>
          </w:p>
        </w:tc>
        <w:tc>
          <w:tcPr>
            <w:tcW w:w="3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36dfd1a65fa4690be58666b4d51052e_2030">
              <w:r>
                <w:rPr>
                  <w:rStyle w:val="InternetLink"/>
                  <w:rFonts w:ascii="Times New Roman;serif" w:hAnsi="Times New Roman;serif"/>
                  <w:b w:val="false"/>
                  <w:strike w:val="false"/>
                  <w:dstrike w:val="false"/>
                  <w:color w:val="000000"/>
                  <w:sz w:val="20"/>
                  <w:u w:val="none"/>
                  <w:effect w:val="none"/>
                </w:rPr>
                <w:t>49</w:t>
              </w:r>
            </w:hyperlink>
          </w:p>
        </w:tc>
      </w:tr>
      <w:tr>
        <w:trPr/>
        <w:tc>
          <w:tcPr>
            <w:tcW w:w="2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29"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536dfd1a65fa4690be58666b4d51052e_933">
              <w:r>
                <w:rPr>
                  <w:rStyle w:val="InternetLink"/>
                  <w:rFonts w:ascii="Times New Roman;serif" w:hAnsi="Times New Roman;serif"/>
                  <w:b/>
                  <w:strike w:val="false"/>
                  <w:dstrike w:val="false"/>
                  <w:color w:val="000000"/>
                  <w:sz w:val="20"/>
                  <w:u w:val="none"/>
                  <w:effect w:val="none"/>
                </w:rPr>
                <w:t>Part II. Other Information</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36dfd1a65fa4690be58666b4d51052e_952">
              <w:r>
                <w:rPr>
                  <w:rStyle w:val="InternetLink"/>
                  <w:rFonts w:ascii="Times New Roman;serif" w:hAnsi="Times New Roman;serif"/>
                  <w:b w:val="false"/>
                  <w:strike w:val="false"/>
                  <w:dstrike w:val="false"/>
                  <w:color w:val="000000"/>
                  <w:sz w:val="20"/>
                  <w:u w:val="none"/>
                  <w:effect w:val="none"/>
                </w:rPr>
                <w:t>Item 1.</w:t>
              </w:r>
            </w:hyperlink>
          </w:p>
        </w:tc>
        <w:tc>
          <w:tcPr>
            <w:tcW w:w="774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36dfd1a65fa4690be58666b4d51052e_952">
              <w:r>
                <w:rPr>
                  <w:rStyle w:val="InternetLink"/>
                  <w:rFonts w:ascii="Times New Roman;serif" w:hAnsi="Times New Roman;serif"/>
                  <w:b w:val="false"/>
                  <w:strike w:val="false"/>
                  <w:dstrike w:val="false"/>
                  <w:color w:val="000000"/>
                  <w:sz w:val="20"/>
                  <w:u w:val="none"/>
                  <w:effect w:val="none"/>
                </w:rPr>
                <w:t>Legal Proceedings</w:t>
              </w:r>
            </w:hyperlink>
          </w:p>
        </w:tc>
        <w:tc>
          <w:tcPr>
            <w:tcW w:w="3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36dfd1a65fa4690be58666b4d51052e_952">
              <w:r>
                <w:rPr>
                  <w:rStyle w:val="InternetLink"/>
                  <w:rFonts w:ascii="Times New Roman;serif" w:hAnsi="Times New Roman;serif"/>
                  <w:b w:val="false"/>
                  <w:strike w:val="false"/>
                  <w:dstrike w:val="false"/>
                  <w:color w:val="000000"/>
                  <w:sz w:val="20"/>
                  <w:u w:val="none"/>
                  <w:effect w:val="none"/>
                </w:rPr>
                <w:t>51</w:t>
              </w:r>
            </w:hyperlink>
          </w:p>
        </w:tc>
      </w:tr>
      <w:tr>
        <w:trPr/>
        <w:tc>
          <w:tcPr>
            <w:tcW w:w="208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36dfd1a65fa4690be58666b4d51052e_971">
              <w:r>
                <w:rPr>
                  <w:rStyle w:val="InternetLink"/>
                  <w:rFonts w:ascii="Times New Roman;serif" w:hAnsi="Times New Roman;serif"/>
                  <w:b w:val="false"/>
                  <w:strike w:val="false"/>
                  <w:dstrike w:val="false"/>
                  <w:color w:val="000000"/>
                  <w:sz w:val="20"/>
                  <w:u w:val="none"/>
                  <w:effect w:val="none"/>
                </w:rPr>
                <w:t>Item 1A</w:t>
              </w:r>
            </w:hyperlink>
            <w:r>
              <w:rPr>
                <w:rFonts w:ascii="Times New Roman;serif" w:hAnsi="Times New Roman;serif"/>
                <w:b w:val="false"/>
                <w:color w:val="000000"/>
                <w:sz w:val="20"/>
              </w:rPr>
              <w:t>.</w:t>
            </w:r>
          </w:p>
        </w:tc>
        <w:tc>
          <w:tcPr>
            <w:tcW w:w="774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36dfd1a65fa4690be58666b4d51052e_971">
              <w:r>
                <w:rPr>
                  <w:rStyle w:val="InternetLink"/>
                  <w:rFonts w:ascii="Times New Roman;serif" w:hAnsi="Times New Roman;serif"/>
                  <w:b w:val="false"/>
                  <w:strike w:val="false"/>
                  <w:dstrike w:val="false"/>
                  <w:color w:val="000000"/>
                  <w:sz w:val="20"/>
                  <w:u w:val="none"/>
                  <w:effect w:val="none"/>
                </w:rPr>
                <w:t>Risk Factors</w:t>
              </w:r>
            </w:hyperlink>
          </w:p>
        </w:tc>
        <w:tc>
          <w:tcPr>
            <w:tcW w:w="3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36dfd1a65fa4690be58666b4d51052e_971">
              <w:r>
                <w:rPr>
                  <w:rStyle w:val="InternetLink"/>
                  <w:rFonts w:ascii="Times New Roman;serif" w:hAnsi="Times New Roman;serif"/>
                  <w:b w:val="false"/>
                  <w:strike w:val="false"/>
                  <w:dstrike w:val="false"/>
                  <w:color w:val="000000"/>
                  <w:sz w:val="20"/>
                  <w:u w:val="none"/>
                  <w:effect w:val="none"/>
                </w:rPr>
                <w:t>51</w:t>
              </w:r>
            </w:hyperlink>
          </w:p>
        </w:tc>
      </w:tr>
      <w:tr>
        <w:trPr/>
        <w:tc>
          <w:tcPr>
            <w:tcW w:w="208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36dfd1a65fa4690be58666b4d51052e_990">
              <w:r>
                <w:rPr>
                  <w:rStyle w:val="InternetLink"/>
                  <w:rFonts w:ascii="Times New Roman;serif" w:hAnsi="Times New Roman;serif"/>
                  <w:b w:val="false"/>
                  <w:strike w:val="false"/>
                  <w:dstrike w:val="false"/>
                  <w:color w:val="000000"/>
                  <w:sz w:val="20"/>
                  <w:u w:val="none"/>
                  <w:effect w:val="none"/>
                </w:rPr>
                <w:t>Item 2.</w:t>
              </w:r>
            </w:hyperlink>
          </w:p>
        </w:tc>
        <w:tc>
          <w:tcPr>
            <w:tcW w:w="774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36dfd1a65fa4690be58666b4d51052e_990">
              <w:r>
                <w:rPr>
                  <w:rStyle w:val="InternetLink"/>
                  <w:rFonts w:ascii="Times New Roman;serif" w:hAnsi="Times New Roman;serif"/>
                  <w:b w:val="false"/>
                  <w:strike w:val="false"/>
                  <w:dstrike w:val="false"/>
                  <w:color w:val="000000"/>
                  <w:sz w:val="20"/>
                  <w:u w:val="none"/>
                  <w:effect w:val="none"/>
                </w:rPr>
                <w:t>Unregistered Sales of Equity Securities and Use of Proceeds</w:t>
              </w:r>
            </w:hyperlink>
          </w:p>
        </w:tc>
        <w:tc>
          <w:tcPr>
            <w:tcW w:w="3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36dfd1a65fa4690be58666b4d51052e_990">
              <w:r>
                <w:rPr>
                  <w:rStyle w:val="InternetLink"/>
                  <w:rFonts w:ascii="Times New Roman;serif" w:hAnsi="Times New Roman;serif"/>
                  <w:b w:val="false"/>
                  <w:strike w:val="false"/>
                  <w:dstrike w:val="false"/>
                  <w:color w:val="000000"/>
                  <w:sz w:val="20"/>
                  <w:u w:val="none"/>
                  <w:effect w:val="none"/>
                </w:rPr>
                <w:t>51</w:t>
              </w:r>
            </w:hyperlink>
          </w:p>
        </w:tc>
      </w:tr>
      <w:tr>
        <w:trPr/>
        <w:tc>
          <w:tcPr>
            <w:tcW w:w="208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36dfd1a65fa4690be58666b4d51052e_2003">
              <w:r>
                <w:rPr>
                  <w:rStyle w:val="InternetLink"/>
                  <w:rFonts w:ascii="Times New Roman;serif" w:hAnsi="Times New Roman;serif"/>
                  <w:b w:val="false"/>
                  <w:strike w:val="false"/>
                  <w:dstrike w:val="false"/>
                  <w:color w:val="000000"/>
                  <w:sz w:val="20"/>
                  <w:u w:val="none"/>
                  <w:effect w:val="none"/>
                </w:rPr>
                <w:t xml:space="preserve">Item </w:t>
              </w:r>
            </w:hyperlink>
            <w:r>
              <w:rPr>
                <w:rFonts w:ascii="Times New Roman;serif" w:hAnsi="Times New Roman;serif"/>
                <w:b w:val="false"/>
                <w:color w:val="000000"/>
                <w:sz w:val="20"/>
              </w:rPr>
              <w:t>5.</w:t>
            </w:r>
          </w:p>
        </w:tc>
        <w:tc>
          <w:tcPr>
            <w:tcW w:w="774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36dfd1a65fa4690be58666b4d51052e_2003">
              <w:r>
                <w:rPr>
                  <w:rStyle w:val="InternetLink"/>
                  <w:rFonts w:ascii="Times New Roman;serif" w:hAnsi="Times New Roman;serif"/>
                  <w:b w:val="false"/>
                  <w:strike w:val="false"/>
                  <w:dstrike w:val="false"/>
                  <w:color w:val="000000"/>
                  <w:sz w:val="20"/>
                  <w:u w:val="none"/>
                  <w:effect w:val="none"/>
                </w:rPr>
                <w:t>Other Information</w:t>
              </w:r>
            </w:hyperlink>
          </w:p>
        </w:tc>
        <w:tc>
          <w:tcPr>
            <w:tcW w:w="3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36dfd1a65fa4690be58666b4d51052e_2003">
              <w:r>
                <w:rPr>
                  <w:rStyle w:val="InternetLink"/>
                  <w:rFonts w:ascii="Times New Roman;serif" w:hAnsi="Times New Roman;serif"/>
                  <w:b w:val="false"/>
                  <w:strike w:val="false"/>
                  <w:dstrike w:val="false"/>
                  <w:color w:val="000000"/>
                  <w:sz w:val="20"/>
                  <w:u w:val="none"/>
                  <w:effect w:val="none"/>
                </w:rPr>
                <w:t>52</w:t>
              </w:r>
            </w:hyperlink>
          </w:p>
        </w:tc>
      </w:tr>
      <w:tr>
        <w:trPr/>
        <w:tc>
          <w:tcPr>
            <w:tcW w:w="208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36dfd1a65fa4690be58666b4d51052e_1010">
              <w:r>
                <w:rPr>
                  <w:rStyle w:val="InternetLink"/>
                  <w:rFonts w:ascii="Times New Roman;serif" w:hAnsi="Times New Roman;serif"/>
                  <w:b w:val="false"/>
                  <w:strike w:val="false"/>
                  <w:dstrike w:val="false"/>
                  <w:color w:val="000000"/>
                  <w:sz w:val="20"/>
                  <w:u w:val="none"/>
                  <w:effect w:val="none"/>
                </w:rPr>
                <w:t xml:space="preserve">Item </w:t>
              </w:r>
            </w:hyperlink>
            <w:r>
              <w:rPr>
                <w:rFonts w:ascii="Times New Roman;serif" w:hAnsi="Times New Roman;serif"/>
                <w:b w:val="false"/>
                <w:color w:val="000000"/>
                <w:sz w:val="20"/>
              </w:rPr>
              <w:t>6.</w:t>
            </w:r>
          </w:p>
        </w:tc>
        <w:tc>
          <w:tcPr>
            <w:tcW w:w="774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36dfd1a65fa4690be58666b4d51052e_1010">
              <w:r>
                <w:rPr>
                  <w:rStyle w:val="InternetLink"/>
                  <w:rFonts w:ascii="Times New Roman;serif" w:hAnsi="Times New Roman;serif"/>
                  <w:b w:val="false"/>
                  <w:strike w:val="false"/>
                  <w:dstrike w:val="false"/>
                  <w:color w:val="000000"/>
                  <w:sz w:val="20"/>
                  <w:u w:val="none"/>
                  <w:effect w:val="none"/>
                </w:rPr>
                <w:t>Exhibits</w:t>
              </w:r>
            </w:hyperlink>
          </w:p>
        </w:tc>
        <w:tc>
          <w:tcPr>
            <w:tcW w:w="3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36dfd1a65fa4690be58666b4d51052e_1010">
              <w:r>
                <w:rPr>
                  <w:rStyle w:val="InternetLink"/>
                  <w:rFonts w:ascii="Times New Roman;serif" w:hAnsi="Times New Roman;serif"/>
                  <w:b w:val="false"/>
                  <w:strike w:val="false"/>
                  <w:dstrike w:val="false"/>
                  <w:color w:val="000000"/>
                  <w:sz w:val="20"/>
                  <w:u w:val="none"/>
                  <w:effect w:val="none"/>
                </w:rPr>
                <w:t>53</w:t>
              </w:r>
            </w:hyperlink>
          </w:p>
        </w:tc>
      </w:tr>
      <w:tr>
        <w:trPr/>
        <w:tc>
          <w:tcPr>
            <w:tcW w:w="9829"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536dfd1a65fa4690be58666b4d51052e_1029">
              <w:r>
                <w:rPr>
                  <w:rStyle w:val="InternetLink"/>
                  <w:rFonts w:ascii="Times New Roman;serif" w:hAnsi="Times New Roman;serif"/>
                  <w:b/>
                  <w:strike w:val="false"/>
                  <w:dstrike w:val="false"/>
                  <w:color w:val="000000"/>
                  <w:sz w:val="20"/>
                  <w:u w:val="none"/>
                  <w:effect w:val="none"/>
                </w:rPr>
                <w:t>Signatures</w:t>
              </w:r>
            </w:hyperlink>
          </w:p>
        </w:tc>
        <w:tc>
          <w:tcPr>
            <w:tcW w:w="3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36dfd1a65fa4690be58666b4d51052e_1029">
              <w:r>
                <w:rPr>
                  <w:rStyle w:val="InternetLink"/>
                  <w:rFonts w:ascii="Times New Roman;serif" w:hAnsi="Times New Roman;serif"/>
                  <w:b w:val="false"/>
                  <w:strike w:val="false"/>
                  <w:dstrike w:val="false"/>
                  <w:color w:val="000000"/>
                  <w:sz w:val="20"/>
                  <w:u w:val="none"/>
                  <w:effect w:val="none"/>
                </w:rPr>
                <w:t>54</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60655"/>
                <wp:effectExtent l="0" t="0" r="0" b="0"/>
                <wp:wrapNone/>
                <wp:docPr id="3" name="Frame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CAUTIONARY STATEMENT REGARDING FORWARD-LOOKING STATEMENTS</w:t>
      </w:r>
    </w:p>
    <w:p>
      <w:pPr>
        <w:pStyle w:val="TextBody"/>
        <w:bidi w:val="0"/>
        <w:spacing w:before="0" w:after="0"/>
        <w:jc w:val="center"/>
        <w:rPr/>
      </w:pPr>
      <w:r>
        <w:rPr/>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Some of the information in this Quarterly Report on Form 10-Q (this “Quarterly Report”) may contain “forward-looking statements.” All statements, other than statements of historical fact included in this Quarterly Report regarding our strategy, future operations, financial position, estimated revenues and losses, projected costs, prospects, plans and objectives of management are forward-looking statements. When used in this Quarterly Report, words such as “may,” “assume,” “forecast,” “could,” “should,” “will,” “plan,” “believe,” “anticipate,” “intend,” “estimate,” “expect,” “project,” “budget” and similar expressions are used to identify forward-looking statements, although not all forward-looking statements contain such identifying words. These forward-looking statements are based on management’s current belief, based on currently available information, as to the outcome and timing of future events at the time such statement was made. When considering forward-looking statements, you should keep in mind the risk factors and other cautionary statements included in this Quarterly Report. Examples of forward-looking statements include, among others, statements we make regarding:</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our business strategy, including with respect to our supply chain, expanded or new service offerings and potential expansion into new domestic or international markets;</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expectations regarding our business or financial outlook;</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expectations regarding opportunities, technological developments, competitive positioning, future economic and regulatory conditions and other trends in particular markets or industries;</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the business plans or financial condition of our customers;</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our ability to achieve or maintain certain financial and operational metrics;</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our ability to comply with and liabilities related to environmental, health and safety laws, regulations and obligations;</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our ability to obtain, maintain and comply with permits and governmental approvals;</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our ability to remain competitive and adapt to developments in the industries in which we operate;</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our ability to secure contracts and maintain relationships with our existing customers;</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our ability to comply with increasing scrutiny, regulatory requirements and changing stakeholder expectations with respect to sustainability and environmental, social and governance matters;</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potential benefits from, and future financial and operational performance of, acquired businesses and our investments;</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expected value of contracts or intended contracts with customers, as well as the expected timing, scope, services, term or results of any awarded or expected projects;</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the expected future value of our intangible assets;</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expectations regarding the future availability and price of materials and equipment necessary for the performance of our business;</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the expected impact of global and domestic economic or political conditions on our business, financial condition, results of operations, cash flows, liquidity, and demand for our services, including inflation, interest rates, tariffs, recessionary economic conditions and commodity prices;</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the expected impact of changes and potential changes in climate and the physical and transition risks associated with climate change;</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the expected impact of existing or potential legislation or regulation;</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the future demand for, availability of and costs related to labor resources in the industries we serve;</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 xml:space="preserve">the expected recognition and realization of our remaining performance obligations or backlog; </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credit markets;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60655"/>
                <wp:effectExtent l="0" t="0" r="0" b="0"/>
                <wp:wrapNone/>
                <wp:docPr id="4" name="Frame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our pending legal matters; and</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our plans, objectives, expectations and intentions contained in this Quarterly Report that are not historical.</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We caution you that these forward-looking statements are subject to all of the risks and uncertainties incident to the business in which we operate, most of which are difficult to predict and many of which are beyond our control. These risks include, but are not limited to, the risks described under “Part I, Item 1A. Risk Factors” and “Part II, Item 7. Management’s Discussion and Analysis of Financial Condition and Results of Operations” of our annual report on Form 10-K for the year ended December 31, 2025 (the “2025 Annual Report”) and “Part II, Item 1A. Risk Factors” of this Quarterly Report.</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Should one or more of the risks or uncertainties referred to in the 2025 Annual Report or this Quarterly Report occur, or should underlying assumptions prove incorrect, our actual results and plans could differ materially from those expressed in any forward-looking statements.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Except as otherwise required by applicable law, we disclaim any duty to update any forward-looking statements, all of which are expressly qualified in their entirety by the statements in this section, to reflect events or circumstances after the date of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60655"/>
                <wp:effectExtent l="0" t="0" r="0" b="0"/>
                <wp:wrapNone/>
                <wp:docPr id="5" name="Frame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PART I. FINANCIAL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Legence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par value and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832"/>
        <w:gridCol w:w="2404"/>
        <w:gridCol w:w="2424"/>
        <w:gridCol w:w="183"/>
        <w:gridCol w:w="732"/>
        <w:gridCol w:w="110"/>
        <w:gridCol w:w="109"/>
        <w:gridCol w:w="109"/>
        <w:gridCol w:w="109"/>
        <w:gridCol w:w="204"/>
        <w:gridCol w:w="812"/>
        <w:gridCol w:w="177"/>
      </w:tblGrid>
      <w:tr>
        <w:trPr/>
        <w:tc>
          <w:tcPr>
            <w:tcW w:w="2832" w:type="dxa"/>
            <w:tcBorders/>
            <w:vAlign w:val="center"/>
          </w:tcPr>
          <w:p>
            <w:pPr>
              <w:pStyle w:val="TableContents"/>
              <w:bidi w:val="0"/>
              <w:spacing w:before="0" w:after="283"/>
              <w:jc w:val="left"/>
              <w:rPr>
                <w:sz w:val="4"/>
                <w:szCs w:val="4"/>
              </w:rPr>
            </w:pPr>
            <w:r>
              <w:rPr>
                <w:sz w:val="4"/>
                <w:szCs w:val="4"/>
              </w:rPr>
            </w:r>
          </w:p>
        </w:tc>
        <w:tc>
          <w:tcPr>
            <w:tcW w:w="2404"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7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December 31, 2025</w:t>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Assets</w:t>
            </w:r>
          </w:p>
        </w:tc>
        <w:tc>
          <w:tcPr>
            <w:tcW w:w="10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Current assets:</w:t>
            </w:r>
          </w:p>
        </w:tc>
        <w:tc>
          <w:tcPr>
            <w:tcW w:w="1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Cash and cash equivalents</w:t>
            </w:r>
          </w:p>
        </w:tc>
        <w:tc>
          <w:tcPr>
            <w:tcW w:w="18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244,620 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1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230,166 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Accounts receivable, net</w:t>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827,255 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584,060 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Contract assets, net</w:t>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355,750 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259,941 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Prepaid expenses and other current assets</w:t>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42,974 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36,179 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Total current assets</w:t>
            </w:r>
          </w:p>
        </w:tc>
        <w:tc>
          <w:tcPr>
            <w:tcW w:w="9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1,470,599 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1,110,346 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Property and equipment, net of accumulated depreciation of $106,729 and $98,650 as of March 31, 2026 and December 31, 2025, respectively</w:t>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115,361 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92,333 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Operating lease right-of-use assets (including $19,082 and $20,025 as of March 31, 2026 and December 31, 2025, respectively, from related parties)</w:t>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143,794 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117,139 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Goodwill</w:t>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841,958 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764,336 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Intangible assets, net</w:t>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843,266 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551,420 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Other assets</w:t>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68,130 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43,822 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4"/>
              </w:rPr>
              <w:t>Total assets</w:t>
            </w:r>
            <w:r>
              <w:rPr>
                <w:rFonts w:ascii="Times New Roman;serif" w:hAnsi="Times New Roman;serif"/>
                <w:b/>
                <w:color w:val="000000"/>
                <w:sz w:val="9"/>
              </w:rPr>
              <w:t>(a)</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3,483,108 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2,679,396 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Liabilities and Equity</w:t>
            </w:r>
          </w:p>
        </w:tc>
        <w:tc>
          <w:tcPr>
            <w:tcW w:w="10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Current liabilities:</w:t>
            </w:r>
          </w:p>
        </w:tc>
        <w:tc>
          <w:tcPr>
            <w:tcW w:w="10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Accounts payable</w:t>
            </w:r>
          </w:p>
        </w:tc>
        <w:tc>
          <w:tcPr>
            <w:tcW w:w="18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350,316 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1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246,161 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Accrued compensation and benefits</w:t>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120,264 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68,064 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Accrued and other current liabilities</w:t>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73,849 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16,475 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Contract liabilities</w:t>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543,280 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339,462 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Current portion of operating lease liabilities (including $3,946 and $3,920 as of March 31, 2026 and December 31, 2025, respectively, from related parties)</w:t>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27,402 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21,300 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Current portion of long-term debt</w:t>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18,297 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16,694 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Total current liabilities</w:t>
            </w:r>
          </w:p>
        </w:tc>
        <w:tc>
          <w:tcPr>
            <w:tcW w:w="9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1,133,408 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708,156 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Long-term debt, net of current portion (including $96,545 and $84,735 as of March 31, 2026 and December 31, 2025, respectively, from related parties)</w:t>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1,008,769 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812,398 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Operating lease liabilities, net of current portion (including $16,290 and $17,282 as of March 31, 2026 and December 31, 2025, respectively, from related parties)</w:t>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123,250 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103,762 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Tax receivable agreement liability - related party</w:t>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208,838 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207,448 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Deferred tax liabilities, net</w:t>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45,149 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46,714 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Other long-term liabilities</w:t>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12,655 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12,123 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4"/>
              </w:rPr>
              <w:t>Total liabilities</w:t>
            </w:r>
            <w:r>
              <w:rPr>
                <w:rFonts w:ascii="Times New Roman;serif" w:hAnsi="Times New Roman;serif"/>
                <w:b/>
                <w:color w:val="000000"/>
                <w:sz w:val="9"/>
              </w:rPr>
              <w:t>(a)</w:t>
            </w:r>
          </w:p>
        </w:tc>
        <w:tc>
          <w:tcPr>
            <w:tcW w:w="9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2,532,069 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1,890,601 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Commitments and contingencies (Note 18)</w:t>
            </w:r>
          </w:p>
        </w:tc>
        <w:tc>
          <w:tcPr>
            <w:tcW w:w="10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Stockholders' equity</w:t>
            </w:r>
          </w:p>
        </w:tc>
        <w:tc>
          <w:tcPr>
            <w:tcW w:w="1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Preferred stock, $0.01 par value, 50,000,000 shares authorized, no shares issued or outstanding as of March 31, 2026 and December 31, 2025</w:t>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Class A common stock $0.01 par value, 1,000,000,000 shares authorized, 67,338,099 and 63,856,975 shares issued and outstanding as of March 31, 2026 and December 31, 2025, respectively</w:t>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673 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638 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Class B common stock $0.01 par value, 200,000,000 shares authorized, 40,699,833 and 41,479,954 shares issued and outstanding as of March 31, 2026 and December 31, 2025, respectively</w:t>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407 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415 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Additional paid-in capital</w:t>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796,998 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701,791 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Accumulated deficit</w:t>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(293,855)</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(309,949)</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Accumulated other comprehensive income (loss)</w:t>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1,221 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(698)</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Total Legence stockholders' equity</w:t>
            </w:r>
          </w:p>
        </w:tc>
        <w:tc>
          <w:tcPr>
            <w:tcW w:w="9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505,444 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392,197 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Noncontrolling interests</w:t>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445,595 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396,598 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Total stockholders' equity</w:t>
            </w:r>
          </w:p>
        </w:tc>
        <w:tc>
          <w:tcPr>
            <w:tcW w:w="9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951,039 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788,795 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Total liabilities and stockholders' equity</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3,483,108 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2,679,396 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pPr>
      <w:r>
        <w:rPr>
          <w:rFonts w:ascii="Times New Roman;serif" w:hAnsi="Times New Roman;serif"/>
          <w:b w:val="false"/>
          <w:color w:val="000000"/>
          <w:sz w:val="9"/>
        </w:rPr>
        <w:t>(a)</w:t>
      </w:r>
      <w:r>
        <w:rPr>
          <w:color w:val="000000"/>
        </w:rPr>
        <w:t xml:space="preserve"> </w:t>
      </w:r>
      <w:r>
        <w:rPr>
          <w:rFonts w:ascii="Times New Roman;serif" w:hAnsi="Times New Roman;serif"/>
          <w:b w:val="false"/>
          <w:color w:val="000000"/>
          <w:sz w:val="14"/>
        </w:rPr>
        <w:t>As of March 31, 2026, total assets include $18.8 million and total liabilities include $8.7 million for consolidated variable interest PCs as defined in “</w:t>
      </w:r>
      <w:hyperlink w:anchor="i536dfd1a65fa4690be58666b4d51052e_43">
        <w:r>
          <w:rPr>
            <w:rStyle w:val="InternetLink"/>
          </w:rPr>
          <w:t>Note 6</w:t>
        </w:r>
      </w:hyperlink>
      <w:hyperlink w:anchor="i536dfd1a65fa4690be58666b4d51052e_43">
        <w:r>
          <w:rPr>
            <w:rStyle w:val="InternetLink"/>
          </w:rPr>
          <w:t>—</w:t>
        </w:r>
      </w:hyperlink>
      <w:hyperlink w:anchor="i536dfd1a65fa4690be58666b4d51052e_43">
        <w:r>
          <w:rPr>
            <w:rStyle w:val="InternetLink"/>
          </w:rPr>
          <w:t>Variable Interest Entities and Equity Method Investments</w:t>
        </w:r>
      </w:hyperlink>
      <w:r>
        <w:rPr>
          <w:color w:val="000000"/>
        </w:rPr>
        <w:t>”</w:t>
      </w:r>
      <w:r>
        <w:rPr>
          <w:rFonts w:ascii="Times New Roman;serif" w:hAnsi="Times New Roman;serif"/>
          <w:b w:val="false"/>
          <w:color w:val="000000"/>
          <w:sz w:val="14"/>
        </w:rPr>
        <w:t>. As of December 31, 2025, total assets include $21.8 million and total liabilities include $9.4 million for consolidated variable interest PCs. Substantially all of the remaining total assets and total liabilities are attributable to the consolidated Legence Holdings variable interest entity, excluding the Tax receivable agreement liability (refer to “</w:t>
      </w:r>
      <w:hyperlink w:anchor="i536dfd1a65fa4690be58666b4d51052e_1980">
        <w:r>
          <w:rPr>
            <w:rStyle w:val="InternetLink"/>
            <w:rFonts w:ascii="Times New Roman;serif" w:hAnsi="Times New Roman;serif"/>
            <w:b w:val="false"/>
            <w:color w:val="0000FF"/>
            <w:sz w:val="14"/>
            <w:u w:val="single"/>
          </w:rPr>
          <w:t>Note 14—Tax Receivable Agreement</w:t>
        </w:r>
      </w:hyperlink>
      <w:r>
        <w:rPr>
          <w:color w:val="000000"/>
        </w:rPr>
        <w:t>”</w:t>
      </w:r>
      <w:r>
        <w:rPr>
          <w:rFonts w:ascii="Times New Roman;serif" w:hAnsi="Times New Roman;serif"/>
          <w:b w:val="false"/>
          <w:color w:val="000000"/>
          <w:sz w:val="14"/>
        </w:rPr>
        <w:t>) and deferred tax assets net of valuation allowance of $51.9 million and $29.5 million included in Other assets as of March 31, 2026 and December 31, 2025, respectively. Assets of the variable interest entities can only be used to settle the liabilities of those entities. Refer to “</w:t>
      </w:r>
      <w:hyperlink w:anchor="i536dfd1a65fa4690be58666b4d51052e_43">
        <w:r>
          <w:rPr>
            <w:rStyle w:val="InternetLink"/>
          </w:rPr>
          <w:t>Note 6</w:t>
        </w:r>
      </w:hyperlink>
      <w:hyperlink w:anchor="i536dfd1a65fa4690be58666b4d51052e_43">
        <w:r>
          <w:rPr>
            <w:rStyle w:val="InternetLink"/>
          </w:rPr>
          <w:t>—</w:t>
        </w:r>
      </w:hyperlink>
      <w:hyperlink w:anchor="i536dfd1a65fa4690be58666b4d51052e_43">
        <w:r>
          <w:rPr>
            <w:rStyle w:val="InternetLink"/>
          </w:rPr>
          <w:t>Variable Interest Entities and Equity Method Investments</w:t>
        </w:r>
      </w:hyperlink>
      <w:r>
        <w:rPr>
          <w:color w:val="000000"/>
        </w:rPr>
        <w:t xml:space="preserve">” </w:t>
      </w:r>
      <w:r>
        <w:rPr>
          <w:rFonts w:ascii="Times New Roman;serif" w:hAnsi="Times New Roman;serif"/>
          <w:b w:val="false"/>
          <w:color w:val="000000"/>
          <w:sz w:val="14"/>
        </w:rPr>
        <w:t>for additional information.</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60655"/>
                <wp:effectExtent l="0" t="0" r="0" b="0"/>
                <wp:wrapNone/>
                <wp:docPr id="6" name="Frame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Legence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782"/>
        <w:gridCol w:w="2403"/>
        <w:gridCol w:w="2402"/>
        <w:gridCol w:w="197"/>
        <w:gridCol w:w="881"/>
        <w:gridCol w:w="109"/>
        <w:gridCol w:w="109"/>
        <w:gridCol w:w="109"/>
        <w:gridCol w:w="109"/>
        <w:gridCol w:w="197"/>
        <w:gridCol w:w="744"/>
        <w:gridCol w:w="163"/>
      </w:tblGrid>
      <w:tr>
        <w:trPr/>
        <w:tc>
          <w:tcPr>
            <w:tcW w:w="2782" w:type="dxa"/>
            <w:tcBorders/>
            <w:vAlign w:val="center"/>
          </w:tcPr>
          <w:p>
            <w:pPr>
              <w:pStyle w:val="TableContents"/>
              <w:bidi w:val="0"/>
              <w:spacing w:before="0" w:after="283"/>
              <w:jc w:val="left"/>
              <w:rPr>
                <w:sz w:val="4"/>
                <w:szCs w:val="4"/>
              </w:rPr>
            </w:pPr>
            <w:r>
              <w:rPr>
                <w:sz w:val="4"/>
                <w:szCs w:val="4"/>
              </w:rPr>
            </w:r>
          </w:p>
        </w:tc>
        <w:tc>
          <w:tcPr>
            <w:tcW w:w="2403" w:type="dxa"/>
            <w:tcBorders/>
            <w:vAlign w:val="center"/>
          </w:tcPr>
          <w:p>
            <w:pPr>
              <w:pStyle w:val="TableContents"/>
              <w:bidi w:val="0"/>
              <w:spacing w:before="0" w:after="283"/>
              <w:jc w:val="left"/>
              <w:rPr>
                <w:sz w:val="4"/>
                <w:szCs w:val="4"/>
              </w:rPr>
            </w:pPr>
            <w:r>
              <w:rPr>
                <w:sz w:val="4"/>
                <w:szCs w:val="4"/>
              </w:rPr>
            </w:r>
          </w:p>
        </w:tc>
        <w:tc>
          <w:tcPr>
            <w:tcW w:w="2402"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8"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7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75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1,037,893 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505,953 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851,739 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394,249 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Gross profit</w:t>
            </w:r>
          </w:p>
        </w:tc>
        <w:tc>
          <w:tcPr>
            <w:tcW w:w="10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186,154 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111,704 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69,459 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26,092 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Acquisition-related costs</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property and equipment</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earnings of joint venture</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(460)</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Income from operations</w:t>
            </w:r>
          </w:p>
        </w:tc>
        <w:tc>
          <w:tcPr>
            <w:tcW w:w="10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22,367 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16,554 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(income):</w:t>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Interest expense (including $1,680 and $4,296 for the three months in 2026 and 2025, respectively, from related parties)</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29,641 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(755)</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Credit agreement amendment fees</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2,877 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other expense, net</w:t>
            </w:r>
          </w:p>
        </w:tc>
        <w:tc>
          <w:tcPr>
            <w:tcW w:w="10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18,354 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31,655 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Income (loss) before income tax</w:t>
            </w:r>
          </w:p>
        </w:tc>
        <w:tc>
          <w:tcPr>
            <w:tcW w:w="10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(15,101)</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(benefit) expense</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(13,381)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4,038 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income (loss)</w:t>
            </w:r>
          </w:p>
        </w:tc>
        <w:tc>
          <w:tcPr>
            <w:tcW w:w="10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17,394 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(19,139)</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noncontrolling interests</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2,074 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income (loss) attributable to Legence</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16,094 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(21,213)</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Earnings per share:</w:t>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9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9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Class A Common Stock outstanding:</w:t>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60655"/>
                <wp:effectExtent l="0" t="0" r="0" b="0"/>
                <wp:wrapNone/>
                <wp:docPr id="7" name="Frame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Legence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7122" w:type="dxa"/>
        <w:jc w:val="left"/>
        <w:tblInd w:w="0" w:type="dxa"/>
        <w:tblLayout w:type="fixed"/>
        <w:tblCellMar>
          <w:top w:w="28" w:type="dxa"/>
          <w:left w:w="28" w:type="dxa"/>
          <w:bottom w:w="28" w:type="dxa"/>
          <w:right w:w="28" w:type="dxa"/>
        </w:tblCellMar>
      </w:tblPr>
      <w:tblGrid>
        <w:gridCol w:w="1626"/>
        <w:gridCol w:w="1431"/>
        <w:gridCol w:w="1443"/>
        <w:gridCol w:w="219"/>
        <w:gridCol w:w="722"/>
        <w:gridCol w:w="121"/>
        <w:gridCol w:w="121"/>
        <w:gridCol w:w="121"/>
        <w:gridCol w:w="121"/>
        <w:gridCol w:w="219"/>
        <w:gridCol w:w="806"/>
        <w:gridCol w:w="172"/>
      </w:tblGrid>
      <w:tr>
        <w:trPr/>
        <w:tc>
          <w:tcPr>
            <w:tcW w:w="1626"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income (loss)</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17,394 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(19,139)</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 net:</w:t>
            </w:r>
          </w:p>
        </w:tc>
        <w:tc>
          <w:tcPr>
            <w:tcW w:w="1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related to interest rate swaps, net of tax</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3,110 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(6,214)</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Other comprehensive income (loss)</w:t>
            </w:r>
          </w:p>
        </w:tc>
        <w:tc>
          <w:tcPr>
            <w:tcW w:w="9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3,110 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(6,214)</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Comprehensive income (loss)</w:t>
            </w:r>
          </w:p>
        </w:tc>
        <w:tc>
          <w:tcPr>
            <w:tcW w:w="9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20,504 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(25,353)</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 attributable to noncontrolling interests</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2,472 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2,074 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Comprehensive income (loss) attributable to Legence</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18,032 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(27,427)</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60655"/>
                <wp:effectExtent l="0" t="0" r="0" b="0"/>
                <wp:wrapNone/>
                <wp:docPr id="8" name="Frame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Legence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2836" w:type="dxa"/>
        <w:jc w:val="left"/>
        <w:tblInd w:w="0" w:type="dxa"/>
        <w:tblLayout w:type="fixed"/>
        <w:tblCellMar>
          <w:top w:w="28" w:type="dxa"/>
          <w:left w:w="28" w:type="dxa"/>
          <w:bottom w:w="28" w:type="dxa"/>
          <w:right w:w="28" w:type="dxa"/>
        </w:tblCellMar>
      </w:tblPr>
      <w:tblGrid>
        <w:gridCol w:w="637"/>
        <w:gridCol w:w="191"/>
        <w:gridCol w:w="193"/>
        <w:gridCol w:w="398"/>
        <w:gridCol w:w="398"/>
        <w:gridCol w:w="171"/>
        <w:gridCol w:w="109"/>
        <w:gridCol w:w="109"/>
        <w:gridCol w:w="109"/>
        <w:gridCol w:w="181"/>
        <w:gridCol w:w="361"/>
        <w:gridCol w:w="109"/>
        <w:gridCol w:w="109"/>
        <w:gridCol w:w="109"/>
        <w:gridCol w:w="109"/>
        <w:gridCol w:w="398"/>
        <w:gridCol w:w="398"/>
        <w:gridCol w:w="171"/>
        <w:gridCol w:w="109"/>
        <w:gridCol w:w="109"/>
        <w:gridCol w:w="109"/>
        <w:gridCol w:w="181"/>
        <w:gridCol w:w="361"/>
        <w:gridCol w:w="109"/>
        <w:gridCol w:w="109"/>
        <w:gridCol w:w="109"/>
        <w:gridCol w:w="109"/>
        <w:gridCol w:w="181"/>
        <w:gridCol w:w="616"/>
        <w:gridCol w:w="109"/>
        <w:gridCol w:w="109"/>
        <w:gridCol w:w="109"/>
        <w:gridCol w:w="109"/>
        <w:gridCol w:w="181"/>
        <w:gridCol w:w="631"/>
        <w:gridCol w:w="109"/>
        <w:gridCol w:w="109"/>
        <w:gridCol w:w="109"/>
        <w:gridCol w:w="109"/>
        <w:gridCol w:w="244"/>
        <w:gridCol w:w="629"/>
        <w:gridCol w:w="148"/>
        <w:gridCol w:w="109"/>
        <w:gridCol w:w="109"/>
        <w:gridCol w:w="109"/>
        <w:gridCol w:w="185"/>
        <w:gridCol w:w="632"/>
        <w:gridCol w:w="114"/>
        <w:gridCol w:w="109"/>
        <w:gridCol w:w="109"/>
        <w:gridCol w:w="109"/>
        <w:gridCol w:w="181"/>
        <w:gridCol w:w="616"/>
        <w:gridCol w:w="109"/>
        <w:gridCol w:w="109"/>
        <w:gridCol w:w="109"/>
        <w:gridCol w:w="109"/>
        <w:gridCol w:w="181"/>
        <w:gridCol w:w="616"/>
        <w:gridCol w:w="154"/>
      </w:tblGrid>
      <w:tr>
        <w:trPr/>
        <w:tc>
          <w:tcPr>
            <w:tcW w:w="63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 xml:space="preserve">Class A </w:t>
              <w:b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 xml:space="preserve">Class B </w:t>
              <w:b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Total Legence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Non-</w:t>
              <w:br/>
              <w:t>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 xml:space="preserve">Total Equity </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Balance, December 31, 2025</w:t>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63,856,975 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41,479,954 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701,791 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(309,949)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(698)</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392,197 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396,598 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788,795 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Tax receivable agreement liability and deferred taxes arising from exchanges of Class B Common Stock</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(5,112)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(5,112)</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(5,112)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 for RSUs and stock options</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4,025 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4,025 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Class A Common Stock for acquisitions</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2,701,003 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106,410 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106,437 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106,437 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Noncontrolling interest adjustment for changes in proportionate ownership in Legence Holdings LLC and issuances of Class A Common Stock</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(23,681)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(19)</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(23,700)</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23,700 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Exchange of Class B Common Stock to Class A Common Stock</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780,121 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(780,121)</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Contribution from Legence Parent for Series A Interests and Restricted Series C Interests</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22,825 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22,825 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Contribution from Legence Parent II for Series A Interests</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13,565 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13,565 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income</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1,938 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1,938 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3,110 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16,094 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16,094 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17,394 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Balance, March 31, 2026</w:t>
            </w:r>
          </w:p>
        </w:tc>
        <w:tc>
          <w:tcPr>
            <w:tcW w:w="79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67,338,099 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40,699,833 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796,998 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(293,855)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1,221 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505,444 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445,595 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951,039 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915"/>
        <w:gridCol w:w="586"/>
        <w:gridCol w:w="561"/>
        <w:gridCol w:w="195"/>
        <w:gridCol w:w="666"/>
        <w:gridCol w:w="118"/>
        <w:gridCol w:w="109"/>
        <w:gridCol w:w="109"/>
        <w:gridCol w:w="109"/>
        <w:gridCol w:w="199"/>
        <w:gridCol w:w="713"/>
        <w:gridCol w:w="119"/>
        <w:gridCol w:w="109"/>
        <w:gridCol w:w="109"/>
        <w:gridCol w:w="109"/>
        <w:gridCol w:w="361"/>
        <w:gridCol w:w="932"/>
        <w:gridCol w:w="219"/>
        <w:gridCol w:w="109"/>
        <w:gridCol w:w="109"/>
        <w:gridCol w:w="109"/>
        <w:gridCol w:w="215"/>
        <w:gridCol w:w="734"/>
        <w:gridCol w:w="129"/>
        <w:gridCol w:w="109"/>
        <w:gridCol w:w="109"/>
        <w:gridCol w:w="109"/>
        <w:gridCol w:w="225"/>
        <w:gridCol w:w="583"/>
        <w:gridCol w:w="138"/>
        <w:gridCol w:w="109"/>
        <w:gridCol w:w="109"/>
        <w:gridCol w:w="109"/>
        <w:gridCol w:w="181"/>
        <w:gridCol w:w="616"/>
        <w:gridCol w:w="165"/>
      </w:tblGrid>
      <w:tr>
        <w:trPr/>
        <w:tc>
          <w:tcPr>
            <w:tcW w:w="91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 xml:space="preserve">Member's Equity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Accumulated 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Total Member's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Non-</w:t>
              <w:br/>
              <w:t>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 xml:space="preserve">Total Equity </w:t>
            </w:r>
          </w:p>
        </w:tc>
      </w:tr>
      <w:tr>
        <w:trPr/>
        <w:tc>
          <w:tcPr>
            <w:tcW w:w="2062" w:type="dxa"/>
            <w:gridSpan w:val="3"/>
            <w:tcBorders>
              <w:left w:val="single" w:sz="8" w:space="0" w:color="DBDBDB"/>
            </w:tcBorders>
            <w:shd w:fill="CCEEFF" w:val="clear"/>
            <w:tcMar>
              <w:top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Balance, December 31, 2024</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443,738 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(250,169)</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9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9,111 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202,680 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912 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203,592 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Reclassification of vested Legence Parent Series A Interests from liabilities</w:t>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loss</w:t>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(6,214)</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(6,214)</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(6,214)</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Net (loss) income</w:t>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(21,213)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(21,213)</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2,074 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(19,139)</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Balance, March 31, 2025</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443,771 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(271,382)</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9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2,897 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175,286 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2,986 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178,272 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60655"/>
                <wp:effectExtent l="0" t="0" r="0" b="0"/>
                <wp:wrapNone/>
                <wp:docPr id="9" name="Frame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Legence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062" w:type="dxa"/>
        <w:jc w:val="left"/>
        <w:tblInd w:w="0" w:type="dxa"/>
        <w:tblLayout w:type="fixed"/>
        <w:tblCellMar>
          <w:top w:w="28" w:type="dxa"/>
          <w:left w:w="28" w:type="dxa"/>
          <w:bottom w:w="28" w:type="dxa"/>
          <w:right w:w="28" w:type="dxa"/>
        </w:tblCellMar>
      </w:tblPr>
      <w:tblGrid>
        <w:gridCol w:w="2758"/>
        <w:gridCol w:w="2426"/>
        <w:gridCol w:w="2435"/>
        <w:gridCol w:w="196"/>
        <w:gridCol w:w="738"/>
        <w:gridCol w:w="109"/>
        <w:gridCol w:w="109"/>
        <w:gridCol w:w="109"/>
        <w:gridCol w:w="109"/>
        <w:gridCol w:w="196"/>
        <w:gridCol w:w="723"/>
        <w:gridCol w:w="154"/>
      </w:tblGrid>
      <w:tr>
        <w:trPr/>
        <w:tc>
          <w:tcPr>
            <w:tcW w:w="2758" w:type="dxa"/>
            <w:tcBorders/>
            <w:vAlign w:val="center"/>
          </w:tcPr>
          <w:p>
            <w:pPr>
              <w:pStyle w:val="TableContents"/>
              <w:bidi w:val="0"/>
              <w:spacing w:before="0" w:after="283"/>
              <w:jc w:val="left"/>
              <w:rPr>
                <w:sz w:val="4"/>
                <w:szCs w:val="4"/>
              </w:rPr>
            </w:pPr>
            <w:r>
              <w:rPr>
                <w:sz w:val="4"/>
                <w:szCs w:val="4"/>
              </w:rPr>
            </w:r>
          </w:p>
        </w:tc>
        <w:tc>
          <w:tcPr>
            <w:tcW w:w="2426" w:type="dxa"/>
            <w:tcBorders/>
            <w:vAlign w:val="center"/>
          </w:tcPr>
          <w:p>
            <w:pPr>
              <w:pStyle w:val="TableContents"/>
              <w:bidi w:val="0"/>
              <w:spacing w:before="0" w:after="283"/>
              <w:jc w:val="left"/>
              <w:rPr>
                <w:sz w:val="4"/>
                <w:szCs w:val="4"/>
              </w:rPr>
            </w:pPr>
            <w:r>
              <w:rPr>
                <w:sz w:val="4"/>
                <w:szCs w:val="4"/>
              </w:rPr>
            </w:r>
          </w:p>
        </w:tc>
        <w:tc>
          <w:tcPr>
            <w:tcW w:w="243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7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Cash flows from operating activities:</w:t>
            </w:r>
          </w:p>
        </w:tc>
        <w:tc>
          <w:tcPr>
            <w:tcW w:w="10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(19,139)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income (loss) to cash provided by operating activities:</w:t>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intangible assets</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21,462 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of property and equipment</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7,889 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debt issuance costs and discounts</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Stock-based compensation </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Compensation expense - Performance Interests</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taxes</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(19,321)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Equity in earnings of joint venture</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right-of-use asset lease expense</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operating assets and liabilities:</w:t>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 net</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(59,199)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32,451 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Contract assets</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(25,711)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(9,991)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current assets</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compensation and benefits</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11,009 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and other current liabilities</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Contract liabilities</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79,141 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 current and long-term</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long-term assets and liabilities</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Cash provided by operating activities</w:t>
            </w:r>
          </w:p>
        </w:tc>
        <w:tc>
          <w:tcPr>
            <w:tcW w:w="9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120,112 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29,461 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investing activities:</w:t>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property and equipment</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(17,822)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Consideration paid for acquisitions, net of cash acquired</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(281,330)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 of property and equipment</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Cash used in investing activities</w:t>
            </w:r>
          </w:p>
        </w:tc>
        <w:tc>
          <w:tcPr>
            <w:tcW w:w="9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(299,019)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(5,750)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financing activities:</w:t>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Term loan borrowings (including $15,000 and $2,495 in 2026 and 2025, respectively, from related parties)</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Term loan payments</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(6,604)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Revolver borrowings</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Revolver payments</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Notes payable payments</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Finance lease payments</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Debt issuance costs</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for deferred offering costs</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(7,416)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Cash provided by (used in) financing activities</w:t>
            </w:r>
          </w:p>
        </w:tc>
        <w:tc>
          <w:tcPr>
            <w:tcW w:w="9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193,361 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(15,753)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Increase in cash and cash equivalents</w:t>
            </w:r>
          </w:p>
        </w:tc>
        <w:tc>
          <w:tcPr>
            <w:tcW w:w="9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14,454 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7,958 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Cash and cash equivalents, beginning of period</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230,166 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81,167 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Cash and cash equivalents, end of period</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244,620 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89,125 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left"/>
        <w:rPr/>
      </w:pPr>
      <w:r>
        <w:rPr>
          <w:rFonts w:ascii="Times New Roman;serif" w:hAnsi="Times New Roman;serif"/>
          <w:b w:val="false"/>
          <w:color w:val="000000"/>
          <w:sz w:val="20"/>
        </w:rPr>
        <w:t>The supplemental disclosures to the Condensed Consolidated Statements of Cash Flows are included in "</w:t>
      </w:r>
      <w:hyperlink w:anchor="i536dfd1a65fa4690be58666b4d51052e_82">
        <w:r>
          <w:rPr>
            <w:rStyle w:val="InternetLink"/>
            <w:rFonts w:ascii="Times New Roman;serif" w:hAnsi="Times New Roman;serif"/>
            <w:b w:val="false"/>
            <w:color w:val="0000FF"/>
            <w:sz w:val="20"/>
            <w:u w:val="single"/>
          </w:rPr>
          <w:t>Note 19 – Other Financial Information</w:t>
        </w:r>
      </w:hyperlink>
      <w:r>
        <w:rPr>
          <w:rFonts w:ascii="Times New Roman;serif" w:hAnsi="Times New Roman;serif"/>
          <w:b w:val="false"/>
          <w:color w:val="000000"/>
          <w:sz w:val="20"/>
        </w:rPr>
        <w:t>.”</w:t>
      </w:r>
    </w:p>
    <w:p>
      <w:pPr>
        <w:pStyle w:val="TextBody"/>
        <w:bidi w:val="0"/>
        <w:spacing w:lineRule="auto" w:line="288" w:before="180" w:after="180"/>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60655"/>
                <wp:effectExtent l="0" t="0" r="0" b="0"/>
                <wp:wrapNone/>
                <wp:docPr id="10" name="Frame1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Legence Corp.</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0" w:name="ia3b681fe5fca47138b37e1d1e40d0b7b_2983"/>
      <w:bookmarkEnd w:id="0"/>
      <w:r>
        <w:rPr>
          <w:rFonts w:ascii="Times New Roman;serif" w:hAnsi="Times New Roman;serif"/>
          <w:b/>
          <w:color w:val="000000"/>
          <w:sz w:val="20"/>
        </w:rPr>
        <w:t>Note 1 - Nature of Operations and Basis of Presentation</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Organization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Legence Corp. was incorporated as a Delaware corporation on January 9, 2025 as a holding company for the purpose of facilitating an initial public offering (“IPO”) and other related transactions in order to carry on the business of Legence Holdings LLC (“Legence Holdings”). Legence Holdings and its subsidiaries are a leading provider of engineering, installation and maintenance services for mission-critical systems in buildings. The Company focuses on high-growth sectors that have technically demanding buildings, including technology, life sciences, healthcare and education. The Company specializes in designing, fabricating and installing complex heating, ventilation and air conditioning (“HVAC”), process piping and other mechanical, electrical and plumbing (“MEP”) systems for new facilities and upgrading HVAC, lighting and building controls in existing facilities to enhance building performance, improve reliability and drive efficiency. Services are primarily provided on a fixed price basis.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All references to the “Company” or “Legence” in this report are to Legence Corp. and its consolidated subsidiaries.</w:t>
      </w:r>
    </w:p>
    <w:p>
      <w:pPr>
        <w:pStyle w:val="TextBody"/>
        <w:bidi w:val="0"/>
        <w:spacing w:lineRule="auto" w:line="288" w:before="180" w:after="180"/>
        <w:jc w:val="both"/>
        <w:rPr>
          <w:rFonts w:ascii="Times New Roman;serif" w:hAnsi="Times New Roman;serif"/>
          <w:b w:val="false"/>
          <w:i/>
          <w:color w:val="000000"/>
          <w:sz w:val="20"/>
        </w:rPr>
      </w:pPr>
      <w:r>
        <w:rPr>
          <w:rFonts w:ascii="Times New Roman;serif" w:hAnsi="Times New Roman;serif"/>
          <w:b w:val="false"/>
          <w:i/>
          <w:color w:val="000000"/>
          <w:sz w:val="20"/>
        </w:rPr>
        <w:t>Initial Public Offering and Organizational Transactions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On September 15, 2025, the Company completed its IPO. In connection with the IPO, the Company completed a corporate reorganization (the “Corporate Reorganization”) that established an UP-C structure in which Legence Corp. became the managing member of Legence Holdings, Legence Holdings interests were recapitalized into LGN A Units and LGN B Units (collectively, “LGN Units”), Legence Parent II LLC (“Legence Parent II”), Legence Parent Management Aggregator LLC (“Management Aggregator I”) and Legence Parent II Management Aggregator LLC (“Management Aggregator II,” and together with Management Aggregator I, the “Management Aggregators”) were formed, and Legence Parent LLC (“Legence Parent”) subscribed for Class B common stock (“Class B Common Stock”) for nominal consideration and retained a portion of its pre-IPO ownership in Legence Holdings through LGN B Units. The number of LGN A Units corresponds on a one-for-one basis with shares of the Company’s Class A common stock, par value $0.01 (the “Class A Common Stock”), while the number of LGN B Units corresponds on a one-for-one basis with shares of the Company’s Class B Common Stock. Class A Common Stock (corresponding to LGN A Units) is held by Legence Parent and Legence Parent II (through their respective wholly-owned subsidiaries, since the fourth quarter of 2025, as described below) and public shareholders.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Corporate Reorganization was accounted for in a manner consistent with a reorganization of entities under common control. The unaudited Condensed Consolidated Financial Statements for periods prior to the IPO and Corporate Reorganization relate to Legence Holdings. Prior to the Corporate Reorganization, Legence Corp. had no operations.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Additionally, as part of the Corporate Reorganization, Legence Corp. entered into an exchange agreement (the “Exchange Agreement”) in which the holders of LGN B Units may exchange their LGN B Units, together with an equal number of corresponding shares of Class B Common Stock, for shares of Class A Common Stock of Legence Corp. on a one-for-one basis or the cash equivalent thereof (based on the 10-day volume weighted average price of the shares of Class A Common Stock at the time of exchange) as determined by Legence (the “Exchange Right”). If the Company elects the exchange to be settled in cash, the cash used to settle the redemption must be funded through a private sale or public offering of Class A Common Stock.</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the fourth quarter of 2025, Legence Parent and Legence Parent II formed Legence Parent ML LLC and Legence Parent II ML LLC (together, the “ML Entities”), which now hold the interests in Legence Holdings and Legence Corp. previously held by Legence Parent and Legence Parent II (collectively, the “Parent Entities”).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unaudited Condensed Consolidated Financial Statements were prepared in accordance with accounting principles generally accepted in the United States (“GAAP”) for interim financial information and the instructions to Form 10-Q and Regulation S-X. Accordingly, these unaudited Condensed Consolidated Financial Statements do not include all information or notes required by GAAP for annual financial statements and should be read together with the Company’s audited Consolidated Financial Statements and notes thereto from the Form 10-K for the year ended December 31, 2025, filed with the SEC on March 30, 2026 (the “2025 Annual Report”). In the opinion of management, the accompanying unaudited Condensed Consolidated Financial Statements include all adjustments (consisting of normal recurring adjustments) that are necessary for a fair presentation of the Company’s financial position, results of operations, comprehensive income (loss) and cash flows for the interim periods presented. The December 31, 2025 Condensed Consolidated Balance Sheet data was derived from the 2025 audited Consolidated Financial Statements but does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60655"/>
                <wp:effectExtent l="0" t="0" r="0" b="0"/>
                <wp:wrapNone/>
                <wp:docPr id="11" name="Frame1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Legence Corp.</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include all disclosures required by GAAP. The preparation of the unaudited Condensed Consolidated Financial Statements requires management to make certain estimates, judgments and assumptions that affect the reported amounts of assets and liabilities, the related revenues and expenses and disclosures as of the date of the financial statements. Actual results could differ from those estimates.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Results of operations for the three months ended March 31, 2026 are not necessarily indicative of the results that will be realized for the year ended December 31, 2026, or for any future period. These condensed consolidated financial statements should be read in conjunction with the 2025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bookmarkStart w:id="1" w:name="i8cd5887921664e7794b83ee0fa767271_32898"/>
      <w:bookmarkEnd w:id="1"/>
      <w:r>
        <w:rPr>
          <w:rFonts w:ascii="Times New Roman;serif" w:hAnsi="Times New Roman;serif"/>
          <w:b/>
          <w:color w:val="000000"/>
          <w:sz w:val="20"/>
        </w:rPr>
        <w:t>Note 2 - Summary of Significant Accounting Policies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Refer to “Note 2. Summary of Significant Accounting Policies” in the 2025 Annual Report for the discussion of our significant accounting policies.</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180" w:after="180"/>
        <w:jc w:val="both"/>
        <w:rPr/>
      </w:pPr>
      <w:r>
        <w:rPr>
          <w:rFonts w:ascii="Times New Roman;serif" w:hAnsi="Times New Roman;serif"/>
          <w:b w:val="false"/>
          <w:i/>
          <w:color w:val="000000"/>
          <w:sz w:val="20"/>
        </w:rPr>
        <w:t>Hedge Accounting Improvements</w:t>
      </w:r>
      <w:r>
        <w:rPr>
          <w:color w:val="000000"/>
        </w:rPr>
        <w:t xml:space="preserve"> </w:t>
      </w:r>
      <w:r>
        <w:rPr>
          <w:rFonts w:ascii="Times New Roman;serif" w:hAnsi="Times New Roman;serif"/>
          <w:b w:val="false"/>
          <w:color w:val="000000"/>
          <w:sz w:val="20"/>
        </w:rPr>
        <w:t>- In December 2025, the FASB issued Accounting Standards Update ASU 2025-09, “</w:t>
      </w:r>
      <w:r>
        <w:rPr>
          <w:rFonts w:ascii="Times New Roman;serif" w:hAnsi="Times New Roman;serif"/>
          <w:b w:val="false"/>
          <w:i/>
          <w:color w:val="000000"/>
          <w:sz w:val="20"/>
        </w:rPr>
        <w:t xml:space="preserve">Derivatives and Hedging (Topic 815): Hedge Accounting Improvements” </w:t>
      </w:r>
      <w:r>
        <w:rPr>
          <w:rFonts w:ascii="Times New Roman;serif" w:hAnsi="Times New Roman;serif"/>
          <w:b w:val="false"/>
          <w:color w:val="000000"/>
          <w:sz w:val="20"/>
        </w:rPr>
        <w:t>(“Update 2025-09”). The guidance introduces targeted refinements intended to align hedge accounting with risk management activities, including greater flexibility in hedge designation and clarifications for certain instruments. Update 2025-09 is effective for fiscal years beginning after December 15, 2026, with early adoption permitted. The Company is currently evaluating the impact that the adoption of Update 2025-09 will have on the Consolidated Financial Statements.</w:t>
      </w:r>
    </w:p>
    <w:p>
      <w:pPr>
        <w:pStyle w:val="TextBody"/>
        <w:bidi w:val="0"/>
        <w:spacing w:lineRule="auto" w:line="288" w:before="180" w:after="180"/>
        <w:jc w:val="both"/>
        <w:rPr/>
      </w:pPr>
      <w:r>
        <w:rPr>
          <w:rFonts w:ascii="Times New Roman;serif" w:hAnsi="Times New Roman;serif"/>
          <w:b w:val="false"/>
          <w:i/>
          <w:color w:val="000000"/>
          <w:sz w:val="20"/>
        </w:rPr>
        <w:t>Targeted Improvements to the Accounting for Internal-Use Software -</w:t>
      </w:r>
      <w:r>
        <w:rPr>
          <w:color w:val="000000"/>
        </w:rPr>
        <w:t xml:space="preserve"> </w:t>
      </w:r>
      <w:r>
        <w:rPr>
          <w:rFonts w:ascii="Times New Roman;serif" w:hAnsi="Times New Roman;serif"/>
          <w:b w:val="false"/>
          <w:color w:val="000000"/>
          <w:sz w:val="20"/>
        </w:rPr>
        <w:t>In September 2025, the Financial Accounting Standards Board (“FASB”) issued Accounting Standards Update (“ASU”) 2025-06, “</w:t>
      </w:r>
      <w:r>
        <w:rPr>
          <w:rFonts w:ascii="Times New Roman;serif" w:hAnsi="Times New Roman;serif"/>
          <w:b w:val="false"/>
          <w:i/>
          <w:color w:val="000000"/>
          <w:sz w:val="20"/>
        </w:rPr>
        <w:t xml:space="preserve">Intangibles-Goodwill and Other- Internal-Use Software (Subtopic 350-40): Targeted Improvements to the Accounting for Internal-Use Software” </w:t>
      </w:r>
      <w:r>
        <w:rPr>
          <w:rFonts w:ascii="Times New Roman;serif" w:hAnsi="Times New Roman;serif"/>
          <w:b w:val="false"/>
          <w:color w:val="000000"/>
          <w:sz w:val="20"/>
        </w:rPr>
        <w:t>(“Update 2025-06”), which removes references to the project stages and requires entities to begin capitalizing software costs when both of the following occur: (1) management has authorized and committed to funding the software project and (2) it is probable that the project will be completed and the software will be used to perform the function intended. Update 2025-06 is effective for fiscal years beginning after December 15, 2027, and interim periods within those fiscal years. Early adoption and a prospective, retrospective or modified transition approach are permitted. The Company is currently evaluating the impact that the adoption of Update 2025-06 will have on its Consolidated Financial Statements.</w:t>
      </w:r>
    </w:p>
    <w:p>
      <w:pPr>
        <w:pStyle w:val="TextBody"/>
        <w:bidi w:val="0"/>
        <w:spacing w:lineRule="auto" w:line="288" w:before="180" w:after="180"/>
        <w:jc w:val="both"/>
        <w:rPr/>
      </w:pPr>
      <w:r>
        <w:rPr>
          <w:rFonts w:ascii="Times New Roman;serif" w:hAnsi="Times New Roman;serif"/>
          <w:b w:val="false"/>
          <w:i/>
          <w:color w:val="000000"/>
          <w:sz w:val="20"/>
        </w:rPr>
        <w:t>Measurement of Credit Losses for Accounts Receivable and Contract Assets -</w:t>
      </w:r>
      <w:r>
        <w:rPr>
          <w:color w:val="000000"/>
        </w:rPr>
        <w:t xml:space="preserve"> </w:t>
      </w:r>
      <w:r>
        <w:rPr>
          <w:rFonts w:ascii="Times New Roman;serif" w:hAnsi="Times New Roman;serif"/>
          <w:b w:val="false"/>
          <w:color w:val="000000"/>
          <w:sz w:val="20"/>
        </w:rPr>
        <w:t>In July 2025, the FASB issued ASU 2025-05,</w:t>
      </w:r>
      <w:r>
        <w:rPr>
          <w:color w:val="000000"/>
        </w:rPr>
        <w:t xml:space="preserve"> “</w:t>
      </w:r>
      <w:r>
        <w:rPr>
          <w:rFonts w:ascii="Times New Roman;serif" w:hAnsi="Times New Roman;serif"/>
          <w:b w:val="false"/>
          <w:i/>
          <w:color w:val="000000"/>
          <w:sz w:val="20"/>
        </w:rPr>
        <w:t xml:space="preserve">Financial Instruments - Credit Losses (Topic 326): Measurement of Credit Losses for Accounts Receivable and Contract Assets” </w:t>
      </w:r>
      <w:r>
        <w:rPr>
          <w:rFonts w:ascii="Times New Roman;serif" w:hAnsi="Times New Roman;serif"/>
          <w:b w:val="false"/>
          <w:color w:val="000000"/>
          <w:sz w:val="20"/>
        </w:rPr>
        <w:t>(“Update 2025-05”), which allows entities to elect a practical expedient for current accounts receivables and contract assets to assume that current conditions as of the balance sheet date do not change for the remaining life of the asset. The Company adopted Update 2025-05 as of January 1, 2026, on a prospective basis, and it did not have a material impact on the Condensed Consolidated Financial Statements.</w:t>
      </w:r>
    </w:p>
    <w:p>
      <w:pPr>
        <w:pStyle w:val="TextBody"/>
        <w:bidi w:val="0"/>
        <w:spacing w:lineRule="auto" w:line="288" w:before="180" w:after="180"/>
        <w:jc w:val="both"/>
        <w:rPr/>
      </w:pPr>
      <w:r>
        <w:rPr>
          <w:rFonts w:ascii="Times New Roman;serif" w:hAnsi="Times New Roman;serif"/>
          <w:b w:val="false"/>
          <w:i/>
          <w:color w:val="000000"/>
          <w:sz w:val="20"/>
        </w:rPr>
        <w:t xml:space="preserve">Business Combinations and Consolidation - </w:t>
      </w:r>
      <w:r>
        <w:rPr>
          <w:rFonts w:ascii="Times New Roman;serif" w:hAnsi="Times New Roman;serif"/>
          <w:b w:val="false"/>
          <w:color w:val="000000"/>
          <w:sz w:val="20"/>
        </w:rPr>
        <w:t>In May 2025, the FASB issued ASU 2025-03, “</w:t>
      </w:r>
      <w:r>
        <w:rPr>
          <w:rFonts w:ascii="Times New Roman;serif" w:hAnsi="Times New Roman;serif"/>
          <w:b w:val="false"/>
          <w:i/>
          <w:color w:val="000000"/>
          <w:sz w:val="20"/>
        </w:rPr>
        <w:t>Determining the Accounting Acquirer in the Acquisition of a Variable Interest Entity”</w:t>
      </w:r>
      <w:r>
        <w:rPr>
          <w:color w:val="000000"/>
        </w:rPr>
        <w:t xml:space="preserve"> </w:t>
      </w:r>
      <w:r>
        <w:rPr>
          <w:rFonts w:ascii="Times New Roman;serif" w:hAnsi="Times New Roman;serif"/>
          <w:b w:val="false"/>
          <w:color w:val="000000"/>
          <w:sz w:val="20"/>
        </w:rPr>
        <w:t>(“Update 2025-03”). This update revises current guidance for determining the accounting acquirer for a transaction effected primarily by exchanging equity interests in which the legal acquiree is a VIE that meets the definition of a business. It requires that an entity consider the same factors that are currently required for determining which entity is the accounting acquirer in other acquisition transactions. Update 2025-03 is effective for fiscal years beginning after December 15, 2026 and interim reporting periods within those annual reporting periods, with early adoption permitted. Update 2025-03 requires that an entity apply the new guidance prospectively to any acquisition that occurs after the initial application date. The Company is currently evaluating the impact that the adoption of Update 2025-03 will have on its Consolidated Financial Statements.</w:t>
      </w:r>
    </w:p>
    <w:p>
      <w:pPr>
        <w:pStyle w:val="TextBody"/>
        <w:bidi w:val="0"/>
        <w:spacing w:lineRule="auto" w:line="288" w:before="180" w:after="180"/>
        <w:jc w:val="both"/>
        <w:rPr/>
      </w:pPr>
      <w:r>
        <w:rPr>
          <w:rFonts w:ascii="Times New Roman;serif" w:hAnsi="Times New Roman;serif"/>
          <w:b w:val="false"/>
          <w:i/>
          <w:color w:val="000000"/>
          <w:sz w:val="20"/>
        </w:rPr>
        <w:t>Income Statement - Expense Disaggregation</w:t>
      </w:r>
      <w:r>
        <w:rPr>
          <w:color w:val="000000"/>
        </w:rPr>
        <w:t xml:space="preserve"> </w:t>
      </w:r>
      <w:r>
        <w:rPr>
          <w:rFonts w:ascii="Times New Roman;serif" w:hAnsi="Times New Roman;serif"/>
          <w:b w:val="false"/>
          <w:color w:val="000000"/>
          <w:sz w:val="20"/>
        </w:rPr>
        <w:t>- In November 2024, the FASB issued ASU 2024-03, “</w:t>
      </w:r>
      <w:r>
        <w:rPr>
          <w:rFonts w:ascii="Times New Roman;serif" w:hAnsi="Times New Roman;serif"/>
          <w:b w:val="false"/>
          <w:i/>
          <w:color w:val="000000"/>
          <w:sz w:val="20"/>
        </w:rPr>
        <w:t>Income Statement - Reporting Comprehensive Income - Expense Disaggregation Disclosures”</w:t>
      </w:r>
      <w:r>
        <w:rPr>
          <w:color w:val="000000"/>
        </w:rPr>
        <w:t xml:space="preserve"> </w:t>
      </w:r>
      <w:r>
        <w:rPr>
          <w:rFonts w:ascii="Times New Roman;serif" w:hAnsi="Times New Roman;serif"/>
          <w:b w:val="false"/>
          <w:color w:val="000000"/>
          <w:sz w:val="20"/>
        </w:rPr>
        <w:t>(“Update 2024-03”). This update requires disclosure, in the notes to the financial statements, of disaggregated information about certain income statement costs and expenses on an interim and annual basis. Update 2024-03 is effective for fiscal years beginning after December 15, 2026, and interim periods beginning after December 15, 2027, with early adoption permitted. The Company is currently evaluating the impact that the adoption of Update 2024-03 will have on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60655"/>
                <wp:effectExtent l="0" t="0" r="0" b="0"/>
                <wp:wrapNone/>
                <wp:docPr id="12" name="Frame1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Legence Corp.</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80" w:after="180"/>
        <w:jc w:val="left"/>
        <w:rPr>
          <w:rFonts w:ascii="Times New Roman;serif" w:hAnsi="Times New Roman;serif"/>
          <w:b/>
          <w:color w:val="000000"/>
          <w:sz w:val="20"/>
        </w:rPr>
      </w:pPr>
      <w:bookmarkStart w:id="2" w:name="ibb88b3446cb442da82e30184b90e2947_10958"/>
      <w:bookmarkEnd w:id="2"/>
      <w:r>
        <w:rPr>
          <w:rFonts w:ascii="Times New Roman;serif" w:hAnsi="Times New Roman;serif"/>
          <w:b/>
          <w:color w:val="000000"/>
          <w:sz w:val="20"/>
        </w:rPr>
        <w:t>Note 3 - Revenue Recognition and Related Balance Sheet Accounts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Revenue is recognized when control of the promised goods or services is transferred to the customer, either at a point-in-time or over-time, as the performance obligation is satisfied. The amount of revenue recognized reflects the transaction price, which is the consideration that the Company expects to receive in exchange for those goods or services provided. Most of the Company's contracts are considered to have a single performance obligation satisfied over time using the input method (i.e., “Cost-to-Cost Input Method”).</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consideration promised in a contract with customers may include fixed amounts, variable amounts, or both. The Company estimates variable consideration and includes it in the transaction price to the extent it is probable that a significant future reversal in the amount of cumulative revenue recognized under the contract will not occur when the uncertainty associated with the variable consideration is resolved.</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Management reassesses the amount of variable consideration each reporting period, and changes to estimated variable consideration are accounted for as a cumulative adjustment to revenue recognized in the current period. Recognizing changes in the transaction price requires significant judgments of various factors, including, but not limited to, dispute resolution developments and outcomes and anticipated negotiation results.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In satisfying the Company’s performance obligations to its customers, the Company routinely procures goods and services from third parties that are inputs into an integrated single performance obligation typically under fixed-price contracts. Procurement from third parties often consists of goods and services provided by subcontractors that the Company engages to perform specified tasks on its behalf and/or under its direction. The Company earns a margin related to these costs under either fixed-margin or fixed-price arrangements with its customers. The Company determined that it is the principal in these arrangements as the Company controls the goods and services procured from third parties.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For some transactions, customers may withhold a portion of the contract price as a contract retention until the project is substantially complete or completed to ensure performance; however, these arrangements typically do not constitute a significant financing component.</w:t>
      </w:r>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Contract Estimates and Changes in Estimates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After contract inception, the transaction price may change for various reasons, including executed or unresolved change orders, executed or unresolved contract modifications, claims to or from the customer or owner, and back-charge recoveries. The customers may partially or fully agree with such modifications or affirmative claims. Most changes are considered variable consideration until approved by both parties.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Contracts with customers are often modified through change orders. Many change orders are for goods or services that are not distinct within the context of the original contract, and, therefore, are not treated as separate performance obligations.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For contracts where the Company applies the Cost-to-Cost Input Method, the accuracy of the Company’s revenue and profit recognition in each reporting period depends on the accuracy of management’s estimates of the cost to complete each project. Contract costs include labor, material, subcontractors and various overhead costs such as maintenance, depreciation, consumables, or equipment rentals, which are either directly related to the fulfillment of specific contract performance obligations or indirectly contribute to the overall customer service delivery fulfillment of multiple contracts and obligations. Costs associated with change orders, unresolved contract modifications, claims to or from owners and back-charge recoveries are recorded as incurred. Revisions to estimated total costs are reflected in the Company’s measure of progress.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These revisions, as well as the stage of completion of contracts in process and the mix of contracts at different margins, may cause fluctuations in gross profit from period to period, which may have a significant impact on the Condensed Consolidated Financial Statements. At the time a loss on a contract becomes probable, the entire amount of the estimated loss is accrued. Management monitors for circumstances that may affect the accuracy of its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60655"/>
                <wp:effectExtent l="0" t="0" r="0" b="0"/>
                <wp:wrapNone/>
                <wp:docPr id="13" name="Frame1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Legence Corp.</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Disaggregation of Revenue</w:t>
      </w:r>
    </w:p>
    <w:p>
      <w:pPr>
        <w:pStyle w:val="TextBody"/>
        <w:bidi w:val="0"/>
        <w:spacing w:lineRule="auto" w:line="288" w:before="180" w:after="180"/>
        <w:jc w:val="both"/>
        <w:rPr/>
      </w:pPr>
      <w:r>
        <w:rPr>
          <w:rFonts w:ascii="Times New Roman;serif" w:hAnsi="Times New Roman;serif"/>
          <w:b w:val="false"/>
          <w:color w:val="000000"/>
          <w:sz w:val="20"/>
        </w:rPr>
        <w:t>The Company’s revenue was derived from contracts to provide goods or services in the Engineering &amp; Consulting and Installation &amp; Maintenance segments. Refer to “</w:t>
      </w:r>
      <w:hyperlink w:anchor="i536dfd1a65fa4690be58666b4d51052e_73">
        <w:r>
          <w:rPr>
            <w:rStyle w:val="InternetLink"/>
            <w:rFonts w:ascii="Times New Roman;serif" w:hAnsi="Times New Roman;serif"/>
            <w:b w:val="false"/>
            <w:color w:val="000080"/>
            <w:sz w:val="20"/>
            <w:u w:val="single"/>
          </w:rPr>
          <w:t>Note 1</w:t>
        </w:r>
      </w:hyperlink>
      <w:hyperlink w:anchor="i536dfd1a65fa4690be58666b4d51052e_73">
        <w:r>
          <w:rPr>
            <w:rStyle w:val="InternetLink"/>
            <w:rFonts w:ascii="Times New Roman;serif" w:hAnsi="Times New Roman;serif"/>
            <w:b w:val="false"/>
            <w:color w:val="000080"/>
            <w:sz w:val="20"/>
            <w:u w:val="single"/>
          </w:rPr>
          <w:t>6</w:t>
        </w:r>
      </w:hyperlink>
      <w:hyperlink w:anchor="i536dfd1a65fa4690be58666b4d51052e_73">
        <w:r>
          <w:rPr>
            <w:rStyle w:val="InternetLink"/>
            <w:rFonts w:ascii="Times New Roman;serif" w:hAnsi="Times New Roman;serif"/>
            <w:b w:val="false"/>
            <w:color w:val="000080"/>
            <w:sz w:val="20"/>
            <w:u w:val="single"/>
          </w:rPr>
          <w:t>—</w:t>
        </w:r>
      </w:hyperlink>
      <w:hyperlink w:anchor="i536dfd1a65fa4690be58666b4d51052e_73">
        <w:r>
          <w:rPr>
            <w:rStyle w:val="InternetLink"/>
            <w:rFonts w:ascii="Times New Roman;serif" w:hAnsi="Times New Roman;serif"/>
            <w:b w:val="false"/>
            <w:color w:val="000080"/>
            <w:sz w:val="20"/>
            <w:u w:val="single"/>
          </w:rPr>
          <w:t>Segment Information</w:t>
        </w:r>
      </w:hyperlink>
      <w:r>
        <w:rPr>
          <w:color w:val="000000"/>
        </w:rPr>
        <w:t xml:space="preserve">” </w:t>
      </w:r>
      <w:r>
        <w:rPr>
          <w:rFonts w:ascii="Times New Roman;serif" w:hAnsi="Times New Roman;serif"/>
          <w:b w:val="false"/>
          <w:color w:val="000000"/>
          <w:sz w:val="20"/>
        </w:rPr>
        <w:t>for additional information on reportable segments.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Company disaggregates revenue by service line as management believes this category best depicts how the nature, amount, timing and uncertainty of revenue and cash flows are affected by economic factors. See details in the following table (in thousands):</w:t>
      </w:r>
    </w:p>
    <w:tbl>
      <w:tblPr>
        <w:tblW w:w="7786" w:type="dxa"/>
        <w:jc w:val="left"/>
        <w:tblInd w:w="0" w:type="dxa"/>
        <w:tblLayout w:type="fixed"/>
        <w:tblCellMar>
          <w:top w:w="28" w:type="dxa"/>
          <w:left w:w="28" w:type="dxa"/>
          <w:bottom w:w="28" w:type="dxa"/>
          <w:right w:w="28" w:type="dxa"/>
        </w:tblCellMar>
      </w:tblPr>
      <w:tblGrid>
        <w:gridCol w:w="1285"/>
        <w:gridCol w:w="1133"/>
        <w:gridCol w:w="1137"/>
        <w:gridCol w:w="109"/>
        <w:gridCol w:w="109"/>
        <w:gridCol w:w="109"/>
        <w:gridCol w:w="109"/>
        <w:gridCol w:w="109"/>
        <w:gridCol w:w="109"/>
        <w:gridCol w:w="109"/>
        <w:gridCol w:w="109"/>
        <w:gridCol w:w="109"/>
        <w:gridCol w:w="109"/>
        <w:gridCol w:w="109"/>
        <w:gridCol w:w="109"/>
        <w:gridCol w:w="109"/>
        <w:gridCol w:w="211"/>
        <w:gridCol w:w="976"/>
        <w:gridCol w:w="109"/>
        <w:gridCol w:w="109"/>
        <w:gridCol w:w="109"/>
        <w:gridCol w:w="109"/>
        <w:gridCol w:w="211"/>
        <w:gridCol w:w="826"/>
        <w:gridCol w:w="154"/>
      </w:tblGrid>
      <w:tr>
        <w:trPr/>
        <w:tc>
          <w:tcPr>
            <w:tcW w:w="1285"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March 31,</w:t>
            </w:r>
          </w:p>
        </w:tc>
      </w:tr>
      <w:tr>
        <w:trPr/>
        <w:tc>
          <w:tcPr>
            <w:tcW w:w="3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 by Service Line and Segment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Engineering &amp; Consulting: </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Engineering &amp; Design</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106,542 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Program &amp; Project Management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38,905 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Engineering &amp; Consulting segment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165,801 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145,447 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Installation &amp; Maintenance: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Installation &amp; Fabrication</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758,592 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289,682 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Maintenance &amp; Service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70,824 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Installation &amp; Maintenance segment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872,092 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360,506 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1,037,893 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505,953 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One customer of the Installation &amp; Maintenance segment represented 17.5% and 6.2% of the Company’s revenue for the three months ended March 31, 2026 and March 31, 2025, respectively. No other single customer accounted for more than 10% of revenue for the three months ended March 31, 2026 and March 31, 2025.</w:t>
      </w:r>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Contract Assets and Liabilities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Due to the nature of the Company’s performance obligations and the timing of contractual payment terms, the Company has material contract asset and liability balances.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Contract assets include $140.1 million and $98.5 million of contract retentions as of March 31, 2026 and December 31, 2025, respectively. Contract retentions included in contract assets are generally subject to substantial project completion and acceptance by the customer.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Contract assets and contract liabilities fluctuate based on factors that occur in the normal course of business, including the volume of projects in progress at period end, the timing of negotiated payment terms, billing frequency and other differences in payment terms relative to revenue recognition.</w:t>
      </w:r>
    </w:p>
    <w:p>
      <w:pPr>
        <w:pStyle w:val="TextBody"/>
        <w:bidi w:val="0"/>
        <w:spacing w:lineRule="auto" w:line="288" w:before="180" w:after="180"/>
        <w:jc w:val="both"/>
        <w:rPr/>
      </w:pPr>
      <w:r>
        <w:rPr>
          <w:rFonts w:ascii="Times New Roman;serif" w:hAnsi="Times New Roman;serif"/>
          <w:b w:val="false"/>
          <w:color w:val="000000"/>
          <w:sz w:val="20"/>
        </w:rPr>
        <w:t>The Company recognized $70.1 million of contract assets and $124.7 million of contract liabilities as part of purchased assets and liabilities related to acquisitions completed during the three months ended March 31, 2026. Refer to “</w:t>
      </w:r>
      <w:hyperlink w:anchor="i536dfd1a65fa4690be58666b4d51052e_34">
        <w:r>
          <w:rPr>
            <w:rStyle w:val="InternetLink"/>
            <w:rFonts w:ascii="Times New Roman;serif" w:hAnsi="Times New Roman;serif"/>
            <w:b w:val="false"/>
            <w:color w:val="0000FF"/>
            <w:sz w:val="20"/>
            <w:u w:val="single"/>
          </w:rPr>
          <w:t>Note 4—Acquisitions</w:t>
        </w:r>
      </w:hyperlink>
      <w:r>
        <w:rPr>
          <w:color w:val="000000"/>
        </w:rPr>
        <w:t xml:space="preserve">” </w:t>
      </w:r>
      <w:r>
        <w:rPr>
          <w:rFonts w:ascii="Times New Roman;serif" w:hAnsi="Times New Roman;serif"/>
          <w:b w:val="false"/>
          <w:color w:val="000000"/>
          <w:sz w:val="20"/>
        </w:rPr>
        <w:t>for further information. The remaining increase in contract assets from December 31, 2025 to March 31, 2026 was primarily due to the increase in the Company’s volume of project activity from both Installation &amp; Maintenance and Engineering &amp; Consulting segments, as reflected in increased revenue from these segments for the three months ended March 31, 2026. The remaining change in contract liabilities from December 31, 2025 to March 31, 2026 is primarily due to the timing and amount of revenue recognized.</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and March 31, 2025, the Company recognized revenue of $200.7 million and $72.8 million, respectively, related to contract liabilities outstanding as of December 31, 2025 and December 31, 2024,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60655"/>
                <wp:effectExtent l="0" t="0" r="0" b="0"/>
                <wp:wrapNone/>
                <wp:docPr id="14" name="Frame1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w:t>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Legence Corp.</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Contracts Receivable</w:t>
      </w:r>
    </w:p>
    <w:p>
      <w:pPr>
        <w:pStyle w:val="TextBody"/>
        <w:bidi w:val="0"/>
        <w:spacing w:lineRule="auto" w:line="288" w:before="180" w:after="180"/>
        <w:jc w:val="both"/>
        <w:rPr/>
      </w:pPr>
      <w:r>
        <w:rPr>
          <w:rFonts w:ascii="Times New Roman;serif" w:hAnsi="Times New Roman;serif"/>
          <w:b w:val="false"/>
          <w:color w:val="000000"/>
          <w:sz w:val="20"/>
        </w:rPr>
        <w:t>Included in the contracts receivable balance is retention for which the Company has an unconditional right to payment and is only subject to the passage of time. Retentions included in Contracts Receivable as of both March 31, 2026 and December 31, 2025 were</w:t>
      </w:r>
      <w:r>
        <w:rPr>
          <w:color w:val="000000"/>
          <w:shd w:fill="FFFFFF" w:val="clear"/>
        </w:rPr>
        <w:t xml:space="preserve"> </w:t>
      </w:r>
      <w:r>
        <w:rPr>
          <w:rFonts w:ascii="Times New Roman;serif" w:hAnsi="Times New Roman;serif"/>
          <w:b w:val="false"/>
          <w:color w:val="000000"/>
          <w:sz w:val="20"/>
        </w:rPr>
        <w:t>$9.6 million.</w:t>
      </w:r>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Remaining Performance Obligations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Company had approximately $4,196.5 million in remaining performance obligations as of March 31, 2026, which represent the expected revenue values under the Company’s contracted or otherwise secured fixed-price project commitments. The Company expects to recognize approximately 65% to 75% of the remaining performance obligations within the next 12 months. The majority of the remaining performance obligations after the first 12 months are expected to be recognized within the following two years.</w:t>
      </w:r>
    </w:p>
    <w:p>
      <w:pPr>
        <w:pStyle w:val="TextBody"/>
        <w:bidi w:val="0"/>
        <w:spacing w:lineRule="auto" w:line="288" w:before="180" w:after="180"/>
        <w:jc w:val="both"/>
        <w:rPr/>
      </w:pPr>
      <w:r>
        <w:rPr>
          <w:rFonts w:ascii="Times New Roman;serif" w:hAnsi="Times New Roman;serif"/>
          <w:b w:val="false"/>
          <w:color w:val="000000"/>
          <w:sz w:val="20"/>
          <w:shd w:fill="FFFFFF" w:val="clear"/>
        </w:rPr>
        <w:t>Although remaining performance obligations reflect expected revenue values that are considered to be firm, cancellations, scope adjustments or project deferrals ma</w:t>
      </w:r>
      <w:r>
        <w:rPr>
          <w:rFonts w:ascii="Times New Roman;serif" w:hAnsi="Times New Roman;serif"/>
          <w:b w:val="false"/>
          <w:color w:val="000000"/>
          <w:sz w:val="20"/>
        </w:rPr>
        <w:t>y occur that impact their volume or the expected timing of their recognition.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Note 4 - Acquisitions</w:t>
      </w:r>
    </w:p>
    <w:p>
      <w:pPr>
        <w:pStyle w:val="TextBody"/>
        <w:bidi w:val="0"/>
        <w:spacing w:lineRule="auto" w:line="288" w:before="240" w:after="180"/>
        <w:jc w:val="both"/>
        <w:rPr>
          <w:rFonts w:ascii="Times New Roman;serif" w:hAnsi="Times New Roman;serif"/>
          <w:b w:val="false"/>
          <w:color w:val="000000"/>
          <w:sz w:val="20"/>
        </w:rPr>
      </w:pPr>
      <w:r>
        <w:rPr>
          <w:rFonts w:ascii="Times New Roman;serif" w:hAnsi="Times New Roman;serif"/>
          <w:b w:val="false"/>
          <w:color w:val="000000"/>
          <w:sz w:val="20"/>
        </w:rPr>
        <w:t>Acquisitions are recorded under the acquisition method of accounting, and the total consideration transferred is allocated to the acquired net tangible and identifiable intangible assets based primarily on their fair values as of the acquisition dates. The estimated fair value of identified intangible assets are Level 3 fair value measurements and are determined using discounted cash flow techniques. Such fair value is estimated using a multi-period excess earnings method for customer relationships and backlog and a relief from royalty method for trade names. The significant assumptions used in estimating fair value of customer relationships and backlog include i) the estimated life the asset will contribute to cash flows, such as remaining contractual terms, (ii) revenue growth rates and EBITDA margins, (iii) attrition rate of customers, and (iv) the estimated discount rates that reflect the level of risk associated with receiving future cash flows. The significant assumptions used in estimating fair value of trade names include estimated discount rates and estimated royalties that would be paid to license a comparable asset. The royalty rates used in this method are based on published comparable market royalty transactions.</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2026 Acquisitions: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November 13, 2025, the Company entered into an equity purchase agreement to acquire all of the outstanding equity of The Bowers Group, Inc. (“Bowers”). The acquisition was completed on January 2, 2026. Bowers is a mechanical contracting company based in Maryland. This acquisition adds mechanical contracting capabilities to the Company’s existing electrical contracting capabilities in the mid-Atlantic region. The Bowers operations and associated goodwill are included in the Installation &amp; Maintenance segment.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March 1, 2026, the Company acquired Metrix Engineers, LLC (“Metrix”). Metrix is an MEP engineering business based in Washington. This acquisition expands the Company’s geographic footprint in engineering services. The Metrix operations and associated goodwill are included in the Engineering &amp; Consulting segment.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consideration transferred of $460.0 million for the 2026 acquisitions consists of the following, subject to customary post</w:t>
        <w:noBreakHyphen/>
        <w:t>closing purchase price adjustments (in thousands):</w:t>
      </w:r>
    </w:p>
    <w:p>
      <w:pPr>
        <w:pStyle w:val="TextBody"/>
        <w:bidi w:val="0"/>
        <w:spacing w:before="0" w:after="0"/>
        <w:jc w:val="left"/>
        <w:rPr/>
      </w:pPr>
      <w:r>
        <w:rPr/>
      </w:r>
    </w:p>
    <w:tbl>
      <w:tblPr>
        <w:tblW w:w="8246" w:type="dxa"/>
        <w:jc w:val="left"/>
        <w:tblInd w:w="0" w:type="dxa"/>
        <w:tblLayout w:type="fixed"/>
        <w:tblCellMar>
          <w:top w:w="28" w:type="dxa"/>
          <w:left w:w="28" w:type="dxa"/>
          <w:bottom w:w="28" w:type="dxa"/>
          <w:right w:w="28" w:type="dxa"/>
        </w:tblCellMar>
      </w:tblPr>
      <w:tblGrid>
        <w:gridCol w:w="1519"/>
        <w:gridCol w:w="1335"/>
        <w:gridCol w:w="1360"/>
        <w:gridCol w:w="211"/>
        <w:gridCol w:w="826"/>
        <w:gridCol w:w="109"/>
        <w:gridCol w:w="109"/>
        <w:gridCol w:w="109"/>
        <w:gridCol w:w="109"/>
        <w:gridCol w:w="211"/>
        <w:gridCol w:w="721"/>
        <w:gridCol w:w="109"/>
        <w:gridCol w:w="109"/>
        <w:gridCol w:w="109"/>
        <w:gridCol w:w="109"/>
        <w:gridCol w:w="211"/>
        <w:gridCol w:w="826"/>
        <w:gridCol w:w="154"/>
      </w:tblGrid>
      <w:tr>
        <w:trPr/>
        <w:tc>
          <w:tcPr>
            <w:tcW w:w="1519"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Bowers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Metrix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283,104 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308,285 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Legence Corp. Class A Common Stock</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106,437 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consideration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44,941 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Holdback</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consideration transferred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426,680 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33,282 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459,962 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For the Bowers acquisition, the Company issued 2,551,672 shares of Class A Common Stock. The deferred consideration is payable on December 31, 2026, in cash, Class A Common Stock, or a combination, at the Company’s discretion.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60655"/>
                <wp:effectExtent l="0" t="0" r="0" b="0"/>
                <wp:wrapNone/>
                <wp:docPr id="15" name="Frame1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w:t>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Legence Corp.</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jc w:val="both"/>
        <w:rPr/>
      </w:pPr>
      <w:r>
        <w:rPr>
          <w:rFonts w:ascii="Times New Roman;serif" w:hAnsi="Times New Roman;serif"/>
          <w:b w:val="false"/>
          <w:color w:val="000000"/>
          <w:sz w:val="20"/>
        </w:rPr>
        <w:t>Company incurred incremental term loan borrowings of $200.0 million to partially finance the Bowers acquisition. Refer to “</w:t>
      </w:r>
      <w:hyperlink w:anchor="i536dfd1a65fa4690be58666b4d51052e_52">
        <w:r>
          <w:rPr>
            <w:rStyle w:val="InternetLink"/>
            <w:rFonts w:ascii="Times New Roman;serif" w:hAnsi="Times New Roman;serif"/>
            <w:b w:val="false"/>
            <w:color w:val="000080"/>
            <w:sz w:val="20"/>
            <w:u w:val="single"/>
          </w:rPr>
          <w:t xml:space="preserve">Note </w:t>
        </w:r>
      </w:hyperlink>
      <w:hyperlink w:anchor="i536dfd1a65fa4690be58666b4d51052e_52">
        <w:r>
          <w:rPr>
            <w:rStyle w:val="InternetLink"/>
            <w:rFonts w:ascii="Times New Roman;serif" w:hAnsi="Times New Roman;serif"/>
            <w:b w:val="false"/>
            <w:color w:val="000080"/>
            <w:sz w:val="20"/>
            <w:u w:val="single"/>
          </w:rPr>
          <w:t>7</w:t>
        </w:r>
      </w:hyperlink>
      <w:hyperlink w:anchor="i536dfd1a65fa4690be58666b4d51052e_52">
        <w:r>
          <w:rPr>
            <w:rStyle w:val="InternetLink"/>
            <w:rFonts w:ascii="Times New Roman;serif" w:hAnsi="Times New Roman;serif"/>
            <w:b w:val="false"/>
            <w:color w:val="000080"/>
            <w:sz w:val="20"/>
            <w:u w:val="single"/>
          </w:rPr>
          <w:t>—Debt</w:t>
        </w:r>
      </w:hyperlink>
      <w:r>
        <w:rPr>
          <w:rFonts w:ascii="Times New Roman;serif" w:hAnsi="Times New Roman;serif"/>
          <w:b w:val="false"/>
          <w:color w:val="000000"/>
          <w:sz w:val="20"/>
        </w:rPr>
        <w:t>.” For the Metrix acquisition, the Company issued 149,331 shares of Class A Common Stock.</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 summary of the purchased assets and liabilities for the 2026 acquisitions acquired at their fair value was as follows (in thousands):</w:t>
      </w:r>
    </w:p>
    <w:tbl>
      <w:tblPr>
        <w:tblW w:w="8051" w:type="dxa"/>
        <w:jc w:val="left"/>
        <w:tblInd w:w="0" w:type="dxa"/>
        <w:tblLayout w:type="fixed"/>
        <w:tblCellMar>
          <w:top w:w="28" w:type="dxa"/>
          <w:left w:w="28" w:type="dxa"/>
          <w:bottom w:w="28" w:type="dxa"/>
          <w:right w:w="28" w:type="dxa"/>
        </w:tblCellMar>
      </w:tblPr>
      <w:tblGrid>
        <w:gridCol w:w="1451"/>
        <w:gridCol w:w="1276"/>
        <w:gridCol w:w="1292"/>
        <w:gridCol w:w="211"/>
        <w:gridCol w:w="826"/>
        <w:gridCol w:w="109"/>
        <w:gridCol w:w="109"/>
        <w:gridCol w:w="109"/>
        <w:gridCol w:w="109"/>
        <w:gridCol w:w="211"/>
        <w:gridCol w:w="721"/>
        <w:gridCol w:w="109"/>
        <w:gridCol w:w="109"/>
        <w:gridCol w:w="109"/>
        <w:gridCol w:w="109"/>
        <w:gridCol w:w="211"/>
        <w:gridCol w:w="826"/>
        <w:gridCol w:w="154"/>
      </w:tblGrid>
      <w:tr>
        <w:trPr/>
        <w:tc>
          <w:tcPr>
            <w:tcW w:w="1451"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Bowers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Metrix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183,803 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70,107 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77,622 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324,400 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691,273 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35,159 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726,432 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(79,834)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(79,881)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benefits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(123,752)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(124,677)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operating lease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 of current portion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net of current portion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(264,593)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(266,470)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acquired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426,680 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33,282 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459,962 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Finite-lived intangible assets that are being amortized using the straight-line method over their estimated lives at the applicable acquisition dates in 2026 consist of the following (in thousands, except weighted-average useful lives):</w:t>
      </w:r>
    </w:p>
    <w:tbl>
      <w:tblPr>
        <w:tblW w:w="7403" w:type="dxa"/>
        <w:jc w:val="left"/>
        <w:tblInd w:w="0" w:type="dxa"/>
        <w:tblLayout w:type="fixed"/>
        <w:tblCellMar>
          <w:top w:w="28" w:type="dxa"/>
          <w:left w:w="28" w:type="dxa"/>
          <w:bottom w:w="28" w:type="dxa"/>
          <w:right w:w="28" w:type="dxa"/>
        </w:tblCellMar>
      </w:tblPr>
      <w:tblGrid>
        <w:gridCol w:w="722"/>
        <w:gridCol w:w="635"/>
        <w:gridCol w:w="637"/>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320"/>
        <w:gridCol w:w="320"/>
        <w:gridCol w:w="455"/>
      </w:tblGrid>
      <w:tr>
        <w:trPr/>
        <w:tc>
          <w:tcPr>
            <w:tcW w:w="722"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Bowers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Metrix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w:t>
              <w:br/>
              <w:t xml:space="preserve">average </w:t>
              <w:br/>
              <w:t xml:space="preserve">Useful Life </w:t>
              <w:br/>
              <w:t>(in years)</w:t>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199,900 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218,600 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11.0</w:t>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backlog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302,000 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324,400 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Goodwill arising from acquisitions is derived largely from expected synergies and growth as well as the acquired assembled workforces. Goodwill is deductible for tax purposes for the 2026 acquisitions.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the Company incurred acquisition-related costs of $10.5 million and $0.9 million for the Bowers and Metrix acquisitions, respectively, which is included in Acquisition-related costs on the Condensed Consolidated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60655"/>
                <wp:effectExtent l="0" t="0" r="0" b="0"/>
                <wp:wrapNone/>
                <wp:docPr id="16" name="Frame1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16</w:t>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Legence Corp.</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purchase price allocation presented above reflects preliminary fair value estimates. The Company is in the process of finalizing working capital amounts and valuation amounts for certain intangible assets acquired. The Company has recorded preliminary estimates for these items and will record adjustments, if any, upon finalization of the respective valuations. The Company expects to complete the purchase price allocations of the 2026 acquisitions as soon as practicable but no later than one year from the respective acquisition dates.</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2025 Acquisitions:</w:t>
      </w:r>
    </w:p>
    <w:p>
      <w:pPr>
        <w:pStyle w:val="TextBody"/>
        <w:bidi w:val="0"/>
        <w:spacing w:lineRule="auto" w:line="288" w:before="240" w:after="180"/>
        <w:jc w:val="both"/>
        <w:rPr>
          <w:rFonts w:ascii="Times New Roman;serif" w:hAnsi="Times New Roman;serif"/>
          <w:b w:val="false"/>
          <w:color w:val="000000"/>
          <w:sz w:val="20"/>
        </w:rPr>
      </w:pPr>
      <w:r>
        <w:rPr>
          <w:rFonts w:ascii="Times New Roman;serif" w:hAnsi="Times New Roman;serif"/>
          <w:b w:val="false"/>
          <w:color w:val="000000"/>
          <w:sz w:val="20"/>
        </w:rPr>
        <w:t>On October 1, 2025, the Company acquired Innovative Mechanical &amp; Design, LLC (“IMD”). IMD is a mechanical contracting business based in Colorado. This acquisition expands the Company’s geographic footprint in mechanical services. The IMD operations and associated goodwill are included in the Installation &amp; Maintenance segment.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2025, the Company completed one other immaterial acquisition (“Other 2025 Acquisition”). The business is a part of the Engineering &amp; Consulting segment and is an MEP engineering business based in Arizona. This acquisition expands the Company’s customer base and provides additional opportunities for cross-selling.</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Total consideration transferred of $21.5 million for the 2025 acquisitions consists of the following (in thousands):</w:t>
      </w:r>
    </w:p>
    <w:tbl>
      <w:tblPr>
        <w:tblW w:w="9020" w:type="dxa"/>
        <w:jc w:val="left"/>
        <w:tblInd w:w="0" w:type="dxa"/>
        <w:tblLayout w:type="fixed"/>
        <w:tblCellMar>
          <w:top w:w="28" w:type="dxa"/>
          <w:left w:w="28" w:type="dxa"/>
          <w:bottom w:w="28" w:type="dxa"/>
          <w:right w:w="28" w:type="dxa"/>
        </w:tblCellMar>
      </w:tblPr>
      <w:tblGrid>
        <w:gridCol w:w="1519"/>
        <w:gridCol w:w="1335"/>
        <w:gridCol w:w="1360"/>
        <w:gridCol w:w="211"/>
        <w:gridCol w:w="721"/>
        <w:gridCol w:w="109"/>
        <w:gridCol w:w="109"/>
        <w:gridCol w:w="109"/>
        <w:gridCol w:w="109"/>
        <w:gridCol w:w="456"/>
        <w:gridCol w:w="1332"/>
        <w:gridCol w:w="237"/>
        <w:gridCol w:w="109"/>
        <w:gridCol w:w="109"/>
        <w:gridCol w:w="109"/>
        <w:gridCol w:w="211"/>
        <w:gridCol w:w="721"/>
        <w:gridCol w:w="154"/>
      </w:tblGrid>
      <w:tr>
        <w:trPr/>
        <w:tc>
          <w:tcPr>
            <w:tcW w:w="1519"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IMD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Other 2025 Acquisition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6,909 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Legence Corp. Class A Common Stock</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449 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Holdback</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price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consideration transferred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7,608 </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21,462 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issued 145,600 shares of Class A Common Stock as part of the 2025 acquisitions. Holdback amounts reflect consideration transferred to be paid in cash after the acquisition date assuming conditions for release of the holdback are met. As of March 31, 2026, there was $1.3 million in holdback included in Accrued and other current liabilities on the Condensed Consolidated Balance Sheets related to 2025 acquisitions.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60655"/>
                <wp:effectExtent l="0" t="0" r="0" b="0"/>
                <wp:wrapNone/>
                <wp:docPr id="17" name="Frame1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17</w:t>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Legence Corp.</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 summary of the purchased assets and liabilities for the 2025 acquisitions acquired at their fair value was as follows (in thousands):</w:t>
      </w:r>
    </w:p>
    <w:tbl>
      <w:tblPr>
        <w:tblW w:w="8825" w:type="dxa"/>
        <w:jc w:val="left"/>
        <w:tblInd w:w="0" w:type="dxa"/>
        <w:tblLayout w:type="fixed"/>
        <w:tblCellMar>
          <w:top w:w="28" w:type="dxa"/>
          <w:left w:w="28" w:type="dxa"/>
          <w:bottom w:w="28" w:type="dxa"/>
          <w:right w:w="28" w:type="dxa"/>
        </w:tblCellMar>
      </w:tblPr>
      <w:tblGrid>
        <w:gridCol w:w="1451"/>
        <w:gridCol w:w="1276"/>
        <w:gridCol w:w="1292"/>
        <w:gridCol w:w="211"/>
        <w:gridCol w:w="721"/>
        <w:gridCol w:w="109"/>
        <w:gridCol w:w="109"/>
        <w:gridCol w:w="109"/>
        <w:gridCol w:w="109"/>
        <w:gridCol w:w="456"/>
        <w:gridCol w:w="1332"/>
        <w:gridCol w:w="237"/>
        <w:gridCol w:w="109"/>
        <w:gridCol w:w="109"/>
        <w:gridCol w:w="109"/>
        <w:gridCol w:w="211"/>
        <w:gridCol w:w="721"/>
        <w:gridCol w:w="154"/>
      </w:tblGrid>
      <w:tr>
        <w:trPr/>
        <w:tc>
          <w:tcPr>
            <w:tcW w:w="1451"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IMD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Other 2025 Acquisition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989 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3,139 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4,070 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8,654 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25,240 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benefits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current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(769)</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operating lease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net of current portion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(1,046)</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(3,778)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acquired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7,608 </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21,462 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Goodwill arising from acquisitions is derived largely from expected synergies and growth as well as the acquired assembled workforces. Goodwill is deductible for tax purposes for the 2025 acquisitions.</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Supplemental Pro Forma Information</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following unaudited supplemental pro forma results of operations for Legence are presented as if the Bowers acquisition had been consummated on January 1, 2025. There is no pro forma information included for the three months ended March 31, 2026, as the Company’s actual financial results for the period fully reflect the acquisition of Bowers. Pro forma results for the Metrix acquisition are not presented as they are not material to the Company’s Condensed Consolidated Financial Statements. These unaudited supplemental pro forma results are provided for illustrative purposes only and may not be indicative of the actual results that would have been achieved by the combined companies or the future results of the combined companies (in thousands).</w:t>
      </w:r>
    </w:p>
    <w:tbl>
      <w:tblPr>
        <w:tblW w:w="6083" w:type="dxa"/>
        <w:jc w:val="left"/>
        <w:tblInd w:w="0" w:type="dxa"/>
        <w:tblLayout w:type="fixed"/>
        <w:tblCellMar>
          <w:top w:w="28" w:type="dxa"/>
          <w:left w:w="28" w:type="dxa"/>
          <w:bottom w:w="28" w:type="dxa"/>
          <w:right w:w="28" w:type="dxa"/>
        </w:tblCellMar>
      </w:tblPr>
      <w:tblGrid>
        <w:gridCol w:w="975"/>
        <w:gridCol w:w="858"/>
        <w:gridCol w:w="866"/>
        <w:gridCol w:w="109"/>
        <w:gridCol w:w="109"/>
        <w:gridCol w:w="109"/>
        <w:gridCol w:w="109"/>
        <w:gridCol w:w="109"/>
        <w:gridCol w:w="109"/>
        <w:gridCol w:w="483"/>
        <w:gridCol w:w="1894"/>
        <w:gridCol w:w="353"/>
      </w:tblGrid>
      <w:tr>
        <w:trPr/>
        <w:tc>
          <w:tcPr>
            <w:tcW w:w="975"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March 31,</w:t>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682,737 </w:t>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Legence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(31,561)</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These pro forma combined historical results were adjusted for: an increase in interest expense for debt incurred by the Company to finance the transactions, increased depreciation and amortization expense due to the fair value of fixed assets and intangible assets, adjustments for operating lease right-of-use asset lease expense, recognition of retention bonuses and other share-based payments as compensation expense, accretion of deferred consideration, reclassification of transaction expenses to the beginning of the pro forma period, and other adjustments including income tax effects and noncontrolling interests. The pro forma combined historical results do not eliminate the impact of acquisition-related costs or any cost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60655"/>
                <wp:effectExtent l="0" t="0" r="0" b="0"/>
                <wp:wrapNone/>
                <wp:docPr id="18" name="Frame1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18</w:t>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Legence Corp.</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savings or other synergies that may result from the acquisitions. The pro forma results include $14.5 million of acquisition-related costs that are not expected to have a continuing impact on the Company’s operations.</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Revenue of $243.3 million and Net loss attributable to Legence of $9.2 million are included in the Condensed Consolidated Statements of Operations for the Bowers acquisition. Results of operations for the Metrix acquisition are not disclosed as they are not material to the Company’s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bookmarkStart w:id="3" w:name="ic5d14bf563d842ed9a194cd73fe28003_2223"/>
      <w:bookmarkEnd w:id="3"/>
      <w:r>
        <w:rPr>
          <w:rFonts w:ascii="Times New Roman;serif" w:hAnsi="Times New Roman;serif"/>
          <w:b/>
          <w:color w:val="000000"/>
          <w:sz w:val="20"/>
        </w:rPr>
        <w:t>Note 5 - Goodwill and Intangible Assets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changes in the carrying value of Goodwill by segment (in thousands):</w:t>
      </w:r>
    </w:p>
    <w:tbl>
      <w:tblPr>
        <w:tblW w:w="9510" w:type="dxa"/>
        <w:jc w:val="left"/>
        <w:tblInd w:w="0" w:type="dxa"/>
        <w:tblLayout w:type="fixed"/>
        <w:tblCellMar>
          <w:top w:w="28" w:type="dxa"/>
          <w:left w:w="28" w:type="dxa"/>
          <w:bottom w:w="28" w:type="dxa"/>
          <w:right w:w="28" w:type="dxa"/>
        </w:tblCellMar>
      </w:tblPr>
      <w:tblGrid>
        <w:gridCol w:w="1109"/>
        <w:gridCol w:w="972"/>
        <w:gridCol w:w="979"/>
        <w:gridCol w:w="415"/>
        <w:gridCol w:w="1632"/>
        <w:gridCol w:w="218"/>
        <w:gridCol w:w="109"/>
        <w:gridCol w:w="109"/>
        <w:gridCol w:w="109"/>
        <w:gridCol w:w="430"/>
        <w:gridCol w:w="1686"/>
        <w:gridCol w:w="224"/>
        <w:gridCol w:w="109"/>
        <w:gridCol w:w="109"/>
        <w:gridCol w:w="109"/>
        <w:gridCol w:w="211"/>
        <w:gridCol w:w="826"/>
        <w:gridCol w:w="154"/>
      </w:tblGrid>
      <w:tr>
        <w:trPr/>
        <w:tc>
          <w:tcPr>
            <w:tcW w:w="110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Carrying value of Goodwill</w:t>
            </w:r>
          </w:p>
        </w:tc>
        <w:tc>
          <w:tcPr>
            <w:tcW w:w="22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Engineering &amp; Consulting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Installation &amp; Maintenance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Balance, December 31, 2025</w:t>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412,987 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351,349 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764,336 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w:t>
            </w:r>
          </w:p>
        </w:tc>
        <w:tc>
          <w:tcPr>
            <w:tcW w:w="2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5,425 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72,197 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77,622 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Balance, March 31, 2026</w:t>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418,412 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423,546 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841,958 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Accumulated goodwill impairment</w:t>
            </w:r>
          </w:p>
        </w:tc>
        <w:tc>
          <w:tcPr>
            <w:tcW w:w="2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Balance, December 31, 2025</w:t>
            </w:r>
          </w:p>
        </w:tc>
        <w:tc>
          <w:tcPr>
            <w:tcW w:w="41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3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47,821 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47,407 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95,228 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Balance, March 31, 2026</w:t>
            </w:r>
          </w:p>
        </w:tc>
        <w:tc>
          <w:tcPr>
            <w:tcW w:w="41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3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47,821 </w:t>
            </w:r>
          </w:p>
        </w:tc>
        <w:tc>
          <w:tcPr>
            <w:tcW w:w="21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47,407 </w:t>
            </w:r>
          </w:p>
        </w:tc>
        <w:tc>
          <w:tcPr>
            <w:tcW w:w="22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95,228 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2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2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2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2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Company’s identifiable intangible assets consist of the following (in thousands, except weighted-average remaining lives):</w:t>
      </w:r>
    </w:p>
    <w:tbl>
      <w:tblPr>
        <w:tblW w:w="10205" w:type="dxa"/>
        <w:jc w:val="left"/>
        <w:tblInd w:w="0" w:type="dxa"/>
        <w:tblLayout w:type="fixed"/>
        <w:tblCellMar>
          <w:top w:w="28" w:type="dxa"/>
          <w:left w:w="28" w:type="dxa"/>
          <w:bottom w:w="28" w:type="dxa"/>
          <w:right w:w="28" w:type="dxa"/>
        </w:tblCellMar>
      </w:tblPr>
      <w:tblGrid>
        <w:gridCol w:w="600"/>
        <w:gridCol w:w="528"/>
        <w:gridCol w:w="529"/>
        <w:gridCol w:w="280"/>
        <w:gridCol w:w="1301"/>
        <w:gridCol w:w="145"/>
        <w:gridCol w:w="109"/>
        <w:gridCol w:w="109"/>
        <w:gridCol w:w="109"/>
        <w:gridCol w:w="322"/>
        <w:gridCol w:w="1363"/>
        <w:gridCol w:w="166"/>
        <w:gridCol w:w="109"/>
        <w:gridCol w:w="109"/>
        <w:gridCol w:w="109"/>
        <w:gridCol w:w="288"/>
        <w:gridCol w:w="1131"/>
        <w:gridCol w:w="149"/>
        <w:gridCol w:w="109"/>
        <w:gridCol w:w="109"/>
        <w:gridCol w:w="109"/>
        <w:gridCol w:w="707"/>
        <w:gridCol w:w="707"/>
        <w:gridCol w:w="1008"/>
      </w:tblGrid>
      <w:tr>
        <w:trPr/>
        <w:tc>
          <w:tcPr>
            <w:tcW w:w="600"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r>
      <w:tr>
        <w:trPr/>
        <w:tc>
          <w:tcPr>
            <w:tcW w:w="1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8"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 2026</w:t>
            </w:r>
          </w:p>
        </w:tc>
      </w:tr>
      <w:tr>
        <w:trPr/>
        <w:tc>
          <w:tcPr>
            <w:tcW w:w="1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Net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Weighted-average Remaining Life</w:t>
              <w:br/>
              <w:t>(in years)</w:t>
            </w:r>
          </w:p>
        </w:tc>
      </w:tr>
      <w:tr>
        <w:trPr/>
        <w:tc>
          <w:tcPr>
            <w:tcW w:w="16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877,398 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(227,785)</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649,613 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8.7</w:t>
            </w:r>
          </w:p>
        </w:tc>
      </w:tr>
      <w:tr>
        <w:trPr/>
        <w:tc>
          <w:tcPr>
            <w:tcW w:w="16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Trade names </w:t>
            </w:r>
          </w:p>
        </w:tc>
        <w:tc>
          <w:tcPr>
            <w:tcW w:w="15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227,028 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(86,545)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140,483 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6.1</w:t>
            </w:r>
          </w:p>
        </w:tc>
      </w:tr>
      <w:tr>
        <w:trPr/>
        <w:tc>
          <w:tcPr>
            <w:tcW w:w="16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backlog</w:t>
            </w:r>
          </w:p>
        </w:tc>
        <w:tc>
          <w:tcPr>
            <w:tcW w:w="15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60,770 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(7,600)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53,170 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1.7</w:t>
            </w:r>
          </w:p>
        </w:tc>
      </w:tr>
      <w:tr>
        <w:trPr/>
        <w:tc>
          <w:tcPr>
            <w:tcW w:w="1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1,165,196 </w:t>
            </w:r>
          </w:p>
        </w:tc>
        <w:tc>
          <w:tcPr>
            <w:tcW w:w="14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(321,930)</w:t>
            </w:r>
          </w:p>
        </w:tc>
        <w:tc>
          <w:tcPr>
            <w:tcW w:w="1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843,266 </w:t>
            </w:r>
          </w:p>
        </w:tc>
        <w:tc>
          <w:tcPr>
            <w:tcW w:w="14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
        <w:gridCol w:w="531"/>
        <w:gridCol w:w="533"/>
        <w:gridCol w:w="308"/>
        <w:gridCol w:w="1209"/>
        <w:gridCol w:w="159"/>
        <w:gridCol w:w="109"/>
        <w:gridCol w:w="109"/>
        <w:gridCol w:w="109"/>
        <w:gridCol w:w="324"/>
        <w:gridCol w:w="1373"/>
        <w:gridCol w:w="167"/>
        <w:gridCol w:w="109"/>
        <w:gridCol w:w="109"/>
        <w:gridCol w:w="109"/>
        <w:gridCol w:w="290"/>
        <w:gridCol w:w="1137"/>
        <w:gridCol w:w="150"/>
        <w:gridCol w:w="109"/>
        <w:gridCol w:w="109"/>
        <w:gridCol w:w="109"/>
        <w:gridCol w:w="712"/>
        <w:gridCol w:w="712"/>
        <w:gridCol w:w="1015"/>
      </w:tblGrid>
      <w:tr>
        <w:trPr/>
        <w:tc>
          <w:tcPr>
            <w:tcW w:w="604"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r>
      <w:tr>
        <w:trPr/>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7"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Net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Weighted-average Remaining Life</w:t>
              <w:br/>
              <w:t>(in years)</w:t>
            </w:r>
          </w:p>
        </w:tc>
      </w:tr>
      <w:tr>
        <w:trPr/>
        <w:tc>
          <w:tcPr>
            <w:tcW w:w="16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658,798 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(209,054)</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449,744 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8.3</w:t>
            </w:r>
          </w:p>
        </w:tc>
      </w:tr>
      <w:tr>
        <w:trPr/>
        <w:tc>
          <w:tcPr>
            <w:tcW w:w="16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Trade names </w:t>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180,428 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(80,068)</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100,360 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5.4</w:t>
            </w:r>
          </w:p>
        </w:tc>
      </w:tr>
      <w:tr>
        <w:trPr/>
        <w:tc>
          <w:tcPr>
            <w:tcW w:w="16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backlog</w:t>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1.4</w:t>
            </w:r>
          </w:p>
        </w:tc>
      </w:tr>
      <w:tr>
        <w:trPr/>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840,796 </w:t>
            </w:r>
          </w:p>
        </w:tc>
        <w:tc>
          <w:tcPr>
            <w:tcW w:w="15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(289,376)</w:t>
            </w:r>
          </w:p>
        </w:tc>
        <w:tc>
          <w:tcPr>
            <w:tcW w:w="16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551,420 </w:t>
            </w:r>
          </w:p>
        </w:tc>
        <w:tc>
          <w:tcPr>
            <w:tcW w:w="15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both"/>
        <w:rPr/>
      </w:pPr>
      <w:r>
        <w:rPr>
          <w:rFonts w:ascii="Times New Roman;serif" w:hAnsi="Times New Roman;serif"/>
          <w:b w:val="false"/>
          <w:color w:val="000000"/>
          <w:sz w:val="20"/>
        </w:rPr>
        <w:t>The value of acquired identifiable intangibles at the applicable acquisition dates in 2026 is $324.4 million. Refer to “</w:t>
      </w:r>
      <w:hyperlink w:anchor="i536dfd1a65fa4690be58666b4d51052e_34">
        <w:r>
          <w:rPr>
            <w:rStyle w:val="InternetLink"/>
            <w:rFonts w:ascii="Times New Roman;serif" w:hAnsi="Times New Roman;serif"/>
            <w:b w:val="false"/>
            <w:color w:val="0000FF"/>
            <w:sz w:val="20"/>
            <w:u w:val="single"/>
          </w:rPr>
          <w:t>Note 4—Acquisitions</w:t>
        </w:r>
      </w:hyperlink>
      <w:r>
        <w:rPr>
          <w:color w:val="000000"/>
        </w:rPr>
        <w:t xml:space="preserve">” </w:t>
      </w:r>
      <w:r>
        <w:rPr>
          <w:rFonts w:ascii="Times New Roman;serif" w:hAnsi="Times New Roman;serif"/>
          <w:b w:val="false"/>
          <w:color w:val="000000"/>
          <w:sz w:val="20"/>
        </w:rPr>
        <w:t>for further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60655"/>
                <wp:effectExtent l="0" t="0" r="0" b="0"/>
                <wp:wrapNone/>
                <wp:docPr id="19" name="Frame1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19</w:t>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Legence Corp.</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Future amortization of intangible assets as of March 31, 2026 was as follows (in thousands):</w:t>
      </w:r>
    </w:p>
    <w:tbl>
      <w:tblPr>
        <w:tblW w:w="3771" w:type="dxa"/>
        <w:jc w:val="left"/>
        <w:tblInd w:w="0" w:type="dxa"/>
        <w:tblLayout w:type="fixed"/>
        <w:tblCellMar>
          <w:top w:w="28" w:type="dxa"/>
          <w:left w:w="28" w:type="dxa"/>
          <w:bottom w:w="28" w:type="dxa"/>
          <w:right w:w="28" w:type="dxa"/>
        </w:tblCellMar>
      </w:tblPr>
      <w:tblGrid>
        <w:gridCol w:w="934"/>
        <w:gridCol w:w="820"/>
        <w:gridCol w:w="826"/>
        <w:gridCol w:w="211"/>
        <w:gridCol w:w="826"/>
        <w:gridCol w:w="154"/>
      </w:tblGrid>
      <w:tr>
        <w:trPr/>
        <w:tc>
          <w:tcPr>
            <w:tcW w:w="934"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Year ended December 31:</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 (nine months remaining)</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99,394 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128,196 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98,604 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98,270 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97,007 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321,795 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843,266 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bookmarkStart w:id="4" w:name="ibb6048f9764f48a09925293ed8db6060_2275"/>
      <w:bookmarkEnd w:id="4"/>
      <w:r>
        <w:rPr>
          <w:rFonts w:ascii="Times New Roman;serif" w:hAnsi="Times New Roman;serif"/>
          <w:b/>
          <w:color w:val="000000"/>
          <w:sz w:val="20"/>
        </w:rPr>
        <w:t>Note 6 - Variable Interest Entities and Equity Method Investments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Company holds interests in a number of joint ventures and other entities, some of which are VIEs. The Company consolidates a VIE when it is the primary beneficiary. For unconsolidated joint ventures, the Company accounts for its investment using the equity method.</w:t>
      </w:r>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Consolidated Variable Interest Entities</w:t>
      </w:r>
    </w:p>
    <w:p>
      <w:pPr>
        <w:pStyle w:val="TextBody"/>
        <w:bidi w:val="0"/>
        <w:spacing w:lineRule="auto" w:line="288" w:before="180" w:after="180"/>
        <w:jc w:val="both"/>
        <w:rPr/>
      </w:pPr>
      <w:r>
        <w:rPr>
          <w:rFonts w:ascii="Times New Roman;serif" w:hAnsi="Times New Roman;serif"/>
          <w:b w:val="false"/>
          <w:color w:val="000000"/>
          <w:sz w:val="20"/>
        </w:rPr>
        <w:t>In connection with the Corporate Reorganization, Legence Corp. became the sole managing member of Legence Holdings, in which Legence Corp. operates and controls all of the business and affairs of Legence Holdings, and has the obligation to absorb losses and receive benefits from Legence Holdings. Accordingly, Legence Holdings is evaluated under the guidance for limited partnerships and similar entities in ASC 810, Consolidation, and is considered a variable interest entity. Legence Corp. has both (i) the power to direct the activities that most significantly impact Legence Holdings’ economic performance and (ii) the right to receive benefits or the obligation to absorb losses that could be significant to Legence Holdings. Accordingly, Legence Corp. is the primary beneficiary and consolidates Legence Holdings in its consolidated financial statements. The assets of Legence Holdings can only be used to settle its own obligations. Refer to “</w:t>
      </w:r>
      <w:hyperlink w:anchor="i536dfd1a65fa4690be58666b4d51052e_2052">
        <w:r>
          <w:rPr>
            <w:rStyle w:val="InternetLink"/>
            <w:rFonts w:ascii="Times New Roman;serif" w:hAnsi="Times New Roman;serif"/>
            <w:b w:val="false"/>
            <w:color w:val="000080"/>
            <w:sz w:val="20"/>
            <w:u w:val="single"/>
          </w:rPr>
          <w:t xml:space="preserve">Note </w:t>
        </w:r>
      </w:hyperlink>
      <w:hyperlink w:anchor="i536dfd1a65fa4690be58666b4d51052e_2052">
        <w:r>
          <w:rPr>
            <w:rStyle w:val="InternetLink"/>
            <w:rFonts w:ascii="Times New Roman;serif" w:hAnsi="Times New Roman;serif"/>
            <w:b w:val="false"/>
            <w:color w:val="000080"/>
            <w:sz w:val="20"/>
            <w:u w:val="single"/>
          </w:rPr>
          <w:t>12</w:t>
        </w:r>
      </w:hyperlink>
      <w:hyperlink w:anchor="i536dfd1a65fa4690be58666b4d51052e_2052">
        <w:r>
          <w:rPr>
            <w:rStyle w:val="InternetLink"/>
            <w:rFonts w:ascii="Times New Roman;serif" w:hAnsi="Times New Roman;serif"/>
            <w:b w:val="false"/>
            <w:color w:val="000080"/>
            <w:sz w:val="20"/>
            <w:u w:val="single"/>
          </w:rPr>
          <w:t>—</w:t>
        </w:r>
      </w:hyperlink>
      <w:hyperlink w:anchor="i536dfd1a65fa4690be58666b4d51052e_2052">
        <w:r>
          <w:rPr>
            <w:rStyle w:val="InternetLink"/>
            <w:rFonts w:ascii="Times New Roman;serif" w:hAnsi="Times New Roman;serif"/>
            <w:b w:val="false"/>
            <w:color w:val="000080"/>
            <w:sz w:val="20"/>
            <w:u w:val="single"/>
          </w:rPr>
          <w:t>Non</w:t>
        </w:r>
      </w:hyperlink>
      <w:hyperlink w:anchor="i536dfd1a65fa4690be58666b4d51052e_2052">
        <w:r>
          <w:rPr>
            <w:rStyle w:val="InternetLink"/>
            <w:rFonts w:ascii="Times New Roman;serif" w:hAnsi="Times New Roman;serif"/>
            <w:b w:val="false"/>
            <w:color w:val="000080"/>
            <w:sz w:val="20"/>
            <w:u w:val="single"/>
          </w:rPr>
          <w:t>c</w:t>
        </w:r>
      </w:hyperlink>
      <w:hyperlink w:anchor="i536dfd1a65fa4690be58666b4d51052e_2052">
        <w:r>
          <w:rPr>
            <w:rStyle w:val="InternetLink"/>
            <w:rFonts w:ascii="Times New Roman;serif" w:hAnsi="Times New Roman;serif"/>
            <w:b w:val="false"/>
            <w:color w:val="000080"/>
            <w:sz w:val="20"/>
            <w:u w:val="single"/>
          </w:rPr>
          <w:t xml:space="preserve">ontrolling </w:t>
        </w:r>
      </w:hyperlink>
      <w:hyperlink w:anchor="i536dfd1a65fa4690be58666b4d51052e_2052">
        <w:r>
          <w:rPr>
            <w:rStyle w:val="InternetLink"/>
            <w:rFonts w:ascii="Times New Roman;serif" w:hAnsi="Times New Roman;serif"/>
            <w:b w:val="false"/>
            <w:color w:val="000080"/>
            <w:sz w:val="20"/>
            <w:u w:val="single"/>
          </w:rPr>
          <w:t>I</w:t>
        </w:r>
      </w:hyperlink>
      <w:hyperlink w:anchor="i536dfd1a65fa4690be58666b4d51052e_2052">
        <w:r>
          <w:rPr>
            <w:rStyle w:val="InternetLink"/>
            <w:rFonts w:ascii="Times New Roman;serif" w:hAnsi="Times New Roman;serif"/>
            <w:b w:val="false"/>
            <w:color w:val="000080"/>
            <w:sz w:val="20"/>
            <w:u w:val="single"/>
          </w:rPr>
          <w:t>ntere</w:t>
        </w:r>
      </w:hyperlink>
      <w:hyperlink w:anchor="i536dfd1a65fa4690be58666b4d51052e_2052">
        <w:r>
          <w:rPr>
            <w:rStyle w:val="InternetLink"/>
            <w:rFonts w:ascii="Times New Roman;serif" w:hAnsi="Times New Roman;serif"/>
            <w:b w:val="false"/>
            <w:color w:val="000080"/>
            <w:sz w:val="20"/>
            <w:u w:val="single"/>
          </w:rPr>
          <w:t>s</w:t>
        </w:r>
      </w:hyperlink>
      <w:hyperlink w:anchor="i536dfd1a65fa4690be58666b4d51052e_2052">
        <w:r>
          <w:rPr>
            <w:rStyle w:val="InternetLink"/>
            <w:rFonts w:ascii="Times New Roman;serif" w:hAnsi="Times New Roman;serif"/>
            <w:b w:val="false"/>
            <w:color w:val="000080"/>
            <w:sz w:val="20"/>
            <w:u w:val="single"/>
          </w:rPr>
          <w:t>t</w:t>
        </w:r>
      </w:hyperlink>
      <w:hyperlink w:anchor="i536dfd1a65fa4690be58666b4d51052e_2052">
        <w:r>
          <w:rPr>
            <w:rStyle w:val="InternetLink"/>
            <w:rFonts w:ascii="Times New Roman;serif" w:hAnsi="Times New Roman;serif"/>
            <w:b w:val="false"/>
            <w:color w:val="000080"/>
            <w:sz w:val="20"/>
            <w:u w:val="single"/>
          </w:rPr>
          <w:t>s</w:t>
        </w:r>
      </w:hyperlink>
      <w:r>
        <w:rPr>
          <w:color w:val="000000"/>
        </w:rPr>
        <w:t>”</w:t>
      </w:r>
      <w:r>
        <w:rPr>
          <w:rFonts w:ascii="Times New Roman;serif" w:hAnsi="Times New Roman;serif"/>
          <w:b w:val="false"/>
          <w:color w:val="000000"/>
          <w:sz w:val="20"/>
        </w:rPr>
        <w:t>.</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Company has various contractual relationships with two professional corporations (“PCs”) that provide engineering and design services in New York and California. The Company does not own any equity interest in the PCs but provides most of the administrative functions, personnel and other resources required for the PCs to fulfill contracts with their customers. The Company receives fees from the PCs for these services. The Company is the primary beneficiary of the PCs. As such, the Company consolidates the PCs within the Condensed Consolidated Financial Statements.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table below shows the carrying amounts and classification of the PCs’ assets and liabilities included on the Company’s Condensed Consolidated Balance Sheets, excluding intercompany balances (in thousands):</w:t>
      </w:r>
    </w:p>
    <w:tbl>
      <w:tblPr>
        <w:tblW w:w="6490" w:type="dxa"/>
        <w:jc w:val="left"/>
        <w:tblInd w:w="0" w:type="dxa"/>
        <w:tblLayout w:type="fixed"/>
        <w:tblCellMar>
          <w:top w:w="28" w:type="dxa"/>
          <w:left w:w="28" w:type="dxa"/>
          <w:bottom w:w="28" w:type="dxa"/>
          <w:right w:w="28" w:type="dxa"/>
        </w:tblCellMar>
      </w:tblPr>
      <w:tblGrid>
        <w:gridCol w:w="1099"/>
        <w:gridCol w:w="965"/>
        <w:gridCol w:w="981"/>
        <w:gridCol w:w="282"/>
        <w:gridCol w:w="966"/>
        <w:gridCol w:w="146"/>
        <w:gridCol w:w="109"/>
        <w:gridCol w:w="109"/>
        <w:gridCol w:w="109"/>
        <w:gridCol w:w="335"/>
        <w:gridCol w:w="1145"/>
        <w:gridCol w:w="244"/>
      </w:tblGrid>
      <w:tr>
        <w:trPr/>
        <w:tc>
          <w:tcPr>
            <w:tcW w:w="1099"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2,173 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5,019 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2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13,028 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12,868 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 net</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3,382 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3,699 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2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18,583 </w:t>
            </w:r>
          </w:p>
        </w:tc>
        <w:tc>
          <w:tcPr>
            <w:tcW w:w="14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21,586 </w:t>
            </w:r>
          </w:p>
        </w:tc>
        <w:tc>
          <w:tcPr>
            <w:tcW w:w="2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8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18,793 </w:t>
            </w:r>
          </w:p>
        </w:tc>
        <w:tc>
          <w:tcPr>
            <w:tcW w:w="14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21,810 </w:t>
            </w:r>
          </w:p>
        </w:tc>
        <w:tc>
          <w:tcPr>
            <w:tcW w:w="2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current liabilities</w:t>
            </w:r>
          </w:p>
        </w:tc>
        <w:tc>
          <w:tcPr>
            <w:tcW w:w="28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1,770 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2,359 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6,923 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7,012 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8,693 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9,371 </w:t>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60655"/>
                <wp:effectExtent l="0" t="0" r="0" b="0"/>
                <wp:wrapNone/>
                <wp:docPr id="20" name="Frame2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20</w:t>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Legence Corp.</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assets of the PCs can only be used to settle their own obligations. The Company and the PCs have a promissory note agreement that allows each PC to borrow up to $1.0 million from the Company; however, no amounts have been borrowed. The Company’s Condensed Consolidated Balance Sheets, Condensed Consolidated Statements of Operations and Condensed Consolidated Statements of Cash Flows, net of intercompany eliminations, are impacted by the performance of the PCs. The Company's Condensed Consolidated Financial Statements show noncontrolling interests, which represent the equity owned by the PCs’ owner.</w:t>
      </w:r>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Equity Method Investments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Company has investments in, and transactions with, a number of unconsolidated joint ventures. The investments and earnings are immaterial. In addition, the Company recognized immaterial related-party revenue from subcontracts with these joint ventures during the three months ended March 31, 2026 and 2025, respectively. These amounts are included in Revenue on the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bookmarkStart w:id="5" w:name="i076dfd31d76945e9ba2f74c1da4a1033_9421"/>
      <w:bookmarkEnd w:id="5"/>
      <w:r>
        <w:rPr>
          <w:rFonts w:ascii="Times New Roman;serif" w:hAnsi="Times New Roman;serif"/>
          <w:b/>
          <w:color w:val="000000"/>
          <w:sz w:val="20"/>
        </w:rPr>
        <w:t>Note 7 - Debt</w:t>
      </w:r>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Debt obligations consist of the following (in thousands):</w:t>
      </w:r>
    </w:p>
    <w:tbl>
      <w:tblPr>
        <w:tblW w:w="7842" w:type="dxa"/>
        <w:jc w:val="left"/>
        <w:tblInd w:w="0" w:type="dxa"/>
        <w:tblLayout w:type="fixed"/>
        <w:tblCellMar>
          <w:top w:w="28" w:type="dxa"/>
          <w:left w:w="28" w:type="dxa"/>
          <w:bottom w:w="28" w:type="dxa"/>
          <w:right w:w="28" w:type="dxa"/>
        </w:tblCellMar>
      </w:tblPr>
      <w:tblGrid>
        <w:gridCol w:w="1592"/>
        <w:gridCol w:w="1396"/>
        <w:gridCol w:w="1407"/>
        <w:gridCol w:w="227"/>
        <w:gridCol w:w="1051"/>
        <w:gridCol w:w="117"/>
        <w:gridCol w:w="109"/>
        <w:gridCol w:w="109"/>
        <w:gridCol w:w="109"/>
        <w:gridCol w:w="305"/>
        <w:gridCol w:w="1197"/>
        <w:gridCol w:w="223"/>
      </w:tblGrid>
      <w:tr>
        <w:trPr/>
        <w:tc>
          <w:tcPr>
            <w:tcW w:w="1592"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995,278 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797,772</w:t>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Notes payable</w:t>
            </w:r>
          </w:p>
        </w:tc>
        <w:tc>
          <w:tcPr>
            <w:tcW w:w="13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27,345</w:t>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liabilities</w:t>
            </w:r>
          </w:p>
        </w:tc>
        <w:tc>
          <w:tcPr>
            <w:tcW w:w="13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10,642</w:t>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12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1,034,263 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835,759 </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w:t>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(18,297)</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(16,694)</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debt issuance costs and discounts</w:t>
            </w:r>
          </w:p>
        </w:tc>
        <w:tc>
          <w:tcPr>
            <w:tcW w:w="127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(7,197)</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(6,667)</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Long-term debt, net of current portion</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1,008,769 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812,398 </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both"/>
        <w:rPr>
          <w:rFonts w:ascii="Times New Roman;serif" w:hAnsi="Times New Roman;serif"/>
          <w:b w:val="false"/>
          <w:i/>
          <w:color w:val="000000"/>
          <w:sz w:val="20"/>
        </w:rPr>
      </w:pPr>
      <w:r>
        <w:rPr>
          <w:rFonts w:ascii="Times New Roman;serif" w:hAnsi="Times New Roman;serif"/>
          <w:b w:val="false"/>
          <w:i/>
          <w:color w:val="000000"/>
          <w:sz w:val="20"/>
        </w:rPr>
        <w:t>Term loan</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Legence Holdings has entered into a credit agreement (as amended from time to time) with Jefferies Finance LLC as the administrative agent for a group of lenders, which provides for a term loan credit facility and a revolving credit facility. The term loan matures on December 2031, and is secured by a lien on substantially all assets of Legence Holdings and its wholly-owned subsidiaries, subject to customary exclusions. A portion of the term loan is held by entities associated with the Company and BX Aggregators. They are subject to the same terms described below, including interest payments, principal payments and maturity. The credit agreement has been amended from time to time, including as described below:</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On January 2, 2026, Legence Holdings obtained a $200.0 million incremental term loan, and used the proceeds to fund acquisition-related payments. In connection with the amendment, Legence Holdings incurred $4.1 million of fees, of which $3.2 million relate to third parties and are recognized in Credit agreement amendment fees on the Condensed Consolidated Statements of Operations.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On January 15, 2026, Legence Holdings amended its credit agreement to modify and clarify the terms governing letters of credit, while confirming that all existing letters of credit remain in effect and all other provisions of the agreement remain unchanged.</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Interest on Secured Overnight Financing Rate (“SOFR”) rate term loans is payable based on the selected interest period if less than three months or quarterly if the selected interest period is three months or longer. Interest on base rate loans is payable quarterly.</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As of March 31, 2026, principal payments on the term loans of $2.5 million are payable quarterly, with any remaining principal balance due on December 16, 2031. Subject to the requirements of the agreement, Legence Holdings may also be required, as applicable, to make additional principal payments based on its excess cash flow, as defined in the credit agreement. The credit agreement contains customary representations and warranties and customary events of default, as well as certain affirmative and negative covenants. Legence Holdings is in compliance with the financial covenants as of March 31,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60655"/>
                <wp:effectExtent l="0" t="0" r="0" b="0"/>
                <wp:wrapNone/>
                <wp:docPr id="21" name="Frame2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21</w:t>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Legence Corp.</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80" w:after="180"/>
        <w:jc w:val="both"/>
        <w:rPr>
          <w:rFonts w:ascii="Times New Roman;serif" w:hAnsi="Times New Roman;serif"/>
          <w:b w:val="false"/>
          <w:i/>
          <w:color w:val="000000"/>
          <w:sz w:val="20"/>
        </w:rPr>
      </w:pPr>
      <w:r>
        <w:rPr>
          <w:rFonts w:ascii="Times New Roman;serif" w:hAnsi="Times New Roman;serif"/>
          <w:b w:val="false"/>
          <w:i/>
          <w:color w:val="000000"/>
          <w:sz w:val="20"/>
        </w:rPr>
        <w:t>Revolving Credit Facility</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credit agreement provides Legence Holdings with a revolving credit facility in an aggregate principal amount of $200.0 million. Borrowings under the revolving credit facility are secured by a lien on substantially all the assets of Legence Holdings and its wholly-owned subsidiaries on a pari passu basis with the term loan facility.</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Advances, including standby letters of credit, under the revolving credit facility may be elected to be treated as either SOFR rate loans or base rate loans.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SOFR rate revolving loans bear interest at SOFR plus 2.25% and base rate revolving loans bear interest at 1.25% plus the base rate which is the highest of (a) the federal funds rate plus 0.50%, (b) the prime rate and (c) the SOFR rate for one month plus 1.00%. Interest on SOFR rate revolving loans is payable based on the selected interest period if less than three months or quarterly if the selected interest period is three months or longer. Interest on base rate revolving loans is payable quarterly.</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In January 2026, Legence Holdings borrowed and repaid $25.0 million under the revolving credit facility. The weighted-average interest rate was 5.95%.</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In addition, a revolver commitment fee is payable quarterly for the unused portion of the revolving credit facility at a rate of 0.38% to 0.50% based on Legence Holdings’s Net Leverage Ratio. As of March 31, 2026, the rate for the unused portion of the revolving credit facility is 0.38%. The revolving credit facility may be used to issue standby letters of credit, which reduce the available borrowings. As of March 31, 2026, there are $30.7 million letters of credit outstanding under the revolving credit facility, with an interest rate of 2.38%.</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March 31, 2026, $169.3 million was available to be borrowed under the revolving credit facility. There were no outstanding borrowings under the revolving credit facility as of March 31, 2026 and December 31, 2025.</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credit agreement, in addition to customary affirmative covenants, contains a springing financial maintenance covenant that requires the Consolidated First Lien Net Leverage Ratio to be less than 8.50 to 1.00 if certain testing conditions are satisfied. The springing financial maintenance covenant is only tested if as of the last day of a Test Period (generally quarterly) the amount of loans and/or letters of credit outstanding under the revolving credit facility is greater than 35% of the facility size. The springing financial maintenance covenant was not required to be tested during the periods presented in the Condensed Consolidated Financial Statements, and the Company is in compliance with the financial covenant as of March 31, 2026.</w:t>
      </w:r>
    </w:p>
    <w:p>
      <w:pPr>
        <w:pStyle w:val="TextBody"/>
        <w:bidi w:val="0"/>
        <w:spacing w:lineRule="auto" w:line="288" w:before="180" w:after="180"/>
        <w:jc w:val="both"/>
        <w:rPr>
          <w:rFonts w:ascii="Times New Roman;serif" w:hAnsi="Times New Roman;serif"/>
          <w:b w:val="false"/>
          <w:i/>
          <w:color w:val="000000"/>
          <w:sz w:val="20"/>
        </w:rPr>
      </w:pPr>
      <w:r>
        <w:rPr>
          <w:rFonts w:ascii="Times New Roman;serif" w:hAnsi="Times New Roman;serif"/>
          <w:b w:val="false"/>
          <w:i/>
          <w:color w:val="000000"/>
          <w:sz w:val="20"/>
        </w:rPr>
        <w:t>Notes payable</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As part of the consideration transferred to acquire certain companies in prior years, the Company issued notes payable to former owners of acquired companies. The former owners are considered related parties when they are employees or Parent interests holders. The Company can prepay these notes without penalty.</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Company issued a promissory note payable in connection with a 2022 acquisition. As of March 31, 2026 and December 31, 2025, the outstanding balance is $10.8 million and $10.6 million, respectively, and the carrying value is $10.3 million and $10.1 million, respectively, recorded in Long-term debt, net of current portion on the Condensed Consolidated Balance Sheets. The stated interest rate is 5.5%. All principal and interest are due at the earlier of the end of the 5-year term in 2027 or upon a sale event as defined in the note agreement.</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Company issued promissory notes payable in connection with a 2023 acquisition and a 2022 acquisition, and the holders of the promissory notes were related parties as of March 31, 2026 and December 31, 2025. As of both March 31, 2026 and December 31, 2025, the outstanding balance is $13.7 million and the carrying value is $12.9 million and $12.8 million, respectively. As of March 31, 2026 and December 31, 2025, $10.9 million and $10.8 million, respectively, are recorded in Long-term debt, net of current portion on the Condensed Consolidated Balance Sheets. As of both March 31, 2026 and December 31, 2025, $2.0 million is recorded in Current portion of long-term debt on the Condensed Consolidated Balance Sheets. The promissory notes have a range of stated interest rates from 5.5% to 6.0% and maturities ranging from 2026 to 2028, at which time all principal and interest are due. The promissory note related to the 2022 acquisition requires the Company to repay all principal and interest earlier if the Company undergoes a change of control as defined in the note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60655"/>
                <wp:effectExtent l="0" t="0" r="0" b="0"/>
                <wp:wrapNone/>
                <wp:docPr id="22" name="Frame2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22</w:t>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Legence Corp.</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80" w:after="180"/>
        <w:jc w:val="both"/>
        <w:rPr>
          <w:rFonts w:ascii="Times New Roman;serif" w:hAnsi="Times New Roman;serif"/>
          <w:b/>
          <w:color w:val="000000"/>
          <w:sz w:val="20"/>
        </w:rPr>
      </w:pPr>
      <w:bookmarkStart w:id="6" w:name="id73a665a3400452b8a9c673fc4339b27_6755"/>
      <w:bookmarkEnd w:id="6"/>
      <w:r>
        <w:rPr>
          <w:rFonts w:ascii="Times New Roman;serif" w:hAnsi="Times New Roman;serif"/>
          <w:b/>
          <w:color w:val="000000"/>
          <w:sz w:val="20"/>
        </w:rPr>
        <w:t>Note 8 - Fair Value Measurements</w:t>
      </w:r>
    </w:p>
    <w:p>
      <w:pPr>
        <w:pStyle w:val="TextBody"/>
        <w:bidi w:val="0"/>
        <w:spacing w:lineRule="auto" w:line="288" w:before="180" w:after="180"/>
        <w:jc w:val="both"/>
        <w:rPr/>
      </w:pPr>
      <w:r>
        <w:rPr>
          <w:rFonts w:ascii="Times New Roman;serif" w:hAnsi="Times New Roman;serif"/>
          <w:b w:val="false"/>
          <w:color w:val="000000"/>
          <w:sz w:val="20"/>
        </w:rPr>
        <w:t xml:space="preserve">The Company recognizes certain financial assets and liabilities at fair value on a recurring basis following the fair value hierarchy detailed in ASC Topic 820, </w:t>
      </w:r>
      <w:r>
        <w:rPr>
          <w:rFonts w:ascii="Times New Roman;serif" w:hAnsi="Times New Roman;serif"/>
          <w:b w:val="false"/>
          <w:i/>
          <w:color w:val="000000"/>
          <w:sz w:val="20"/>
        </w:rPr>
        <w:t>Fair Value Measurement:</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Level 1: Inputs are unadjusted quoted prices in active markets for identical assets or liabilities available at the measurement date.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Level 2: Inputs are unadjusted quoted prices for similar assets and liabilities in active markets, quoted prices for identical or similar assets and liabilities in markets that are not active, inputs other than quoted prices that are observable, and inputs derived from or corroborated by observable market data.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Level 3: Inputs are unobservable inputs that reflect the reporting entity’s own assumptions on which assumptions the market participants would use in pricing the asset or liability based on the best available information.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input level used to determine the fair value of the financial instruments measured at fair value on a recurring basis (in thousands):</w:t>
      </w:r>
    </w:p>
    <w:tbl>
      <w:tblPr>
        <w:tblW w:w="6327" w:type="dxa"/>
        <w:jc w:val="left"/>
        <w:tblInd w:w="0" w:type="dxa"/>
        <w:tblLayout w:type="fixed"/>
        <w:tblCellMar>
          <w:top w:w="28" w:type="dxa"/>
          <w:left w:w="28" w:type="dxa"/>
          <w:bottom w:w="28" w:type="dxa"/>
          <w:right w:w="28" w:type="dxa"/>
        </w:tblCellMar>
      </w:tblPr>
      <w:tblGrid>
        <w:gridCol w:w="1018"/>
        <w:gridCol w:w="897"/>
        <w:gridCol w:w="905"/>
        <w:gridCol w:w="211"/>
        <w:gridCol w:w="826"/>
        <w:gridCol w:w="109"/>
        <w:gridCol w:w="109"/>
        <w:gridCol w:w="109"/>
        <w:gridCol w:w="109"/>
        <w:gridCol w:w="211"/>
        <w:gridCol w:w="616"/>
        <w:gridCol w:w="109"/>
        <w:gridCol w:w="109"/>
        <w:gridCol w:w="109"/>
        <w:gridCol w:w="109"/>
        <w:gridCol w:w="211"/>
        <w:gridCol w:w="406"/>
        <w:gridCol w:w="154"/>
      </w:tblGrid>
      <w:tr>
        <w:trPr/>
        <w:tc>
          <w:tcPr>
            <w:tcW w:w="1018"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 2026</w:t>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Level 3</w:t>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 - money market</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164,409 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 instruments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 instruments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967" w:type="dxa"/>
        <w:jc w:val="left"/>
        <w:tblInd w:w="0" w:type="dxa"/>
        <w:tblLayout w:type="fixed"/>
        <w:tblCellMar>
          <w:top w:w="28" w:type="dxa"/>
          <w:left w:w="28" w:type="dxa"/>
          <w:bottom w:w="28" w:type="dxa"/>
          <w:right w:w="28" w:type="dxa"/>
        </w:tblCellMar>
      </w:tblPr>
      <w:tblGrid>
        <w:gridCol w:w="1018"/>
        <w:gridCol w:w="897"/>
        <w:gridCol w:w="905"/>
        <w:gridCol w:w="211"/>
        <w:gridCol w:w="466"/>
        <w:gridCol w:w="109"/>
        <w:gridCol w:w="109"/>
        <w:gridCol w:w="109"/>
        <w:gridCol w:w="109"/>
        <w:gridCol w:w="211"/>
        <w:gridCol w:w="616"/>
        <w:gridCol w:w="109"/>
        <w:gridCol w:w="109"/>
        <w:gridCol w:w="109"/>
        <w:gridCol w:w="109"/>
        <w:gridCol w:w="211"/>
        <w:gridCol w:w="406"/>
        <w:gridCol w:w="154"/>
      </w:tblGrid>
      <w:tr>
        <w:trPr/>
        <w:tc>
          <w:tcPr>
            <w:tcW w:w="1018"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Level 3</w:t>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 - money market</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 instruments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 instruments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carrying value of Cash approximates fair value due to its short-term nature.</w:t>
      </w:r>
    </w:p>
    <w:p>
      <w:pPr>
        <w:pStyle w:val="TextBody"/>
        <w:bidi w:val="0"/>
        <w:spacing w:lineRule="auto" w:line="288" w:before="180" w:after="180"/>
        <w:jc w:val="left"/>
        <w:rPr/>
      </w:pPr>
      <w:r>
        <w:rPr>
          <w:rFonts w:ascii="Times New Roman;serif" w:hAnsi="Times New Roman;serif"/>
          <w:b/>
          <w:color w:val="000000"/>
          <w:sz w:val="20"/>
        </w:rPr>
        <w:t xml:space="preserve">Interest Rate Swap Instruments: </w:t>
      </w:r>
      <w:r>
        <w:rPr>
          <w:rFonts w:ascii="Times New Roman;serif" w:hAnsi="Times New Roman;serif"/>
          <w:b w:val="false"/>
          <w:color w:val="000000"/>
          <w:sz w:val="20"/>
        </w:rPr>
        <w:t>Additional derivative instrument disclosures for the Company’s interest rate swaps can be found in “</w:t>
      </w:r>
      <w:hyperlink w:anchor="i536dfd1a65fa4690be58666b4d51052e_58">
        <w:r>
          <w:rPr>
            <w:rStyle w:val="InternetLink"/>
            <w:rFonts w:ascii="Times New Roman;serif" w:hAnsi="Times New Roman;serif"/>
            <w:b w:val="false"/>
            <w:color w:val="0000FF"/>
            <w:sz w:val="20"/>
            <w:u w:val="single"/>
          </w:rPr>
          <w:t>Note 9—Derivatives</w:t>
        </w:r>
      </w:hyperlink>
      <w:r>
        <w:rPr>
          <w:rFonts w:ascii="Times New Roman;serif" w:hAnsi="Times New Roman;serif"/>
          <w:b w:val="false"/>
          <w:color w:val="000000"/>
          <w:sz w:val="20"/>
        </w:rPr>
        <w:t>.”</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For determining the fair value of the interest rate swap contracts, the Company uses significant observable market data or assumptions (Level 2 inputs) that market participants use in pricing similar assets or liabilities, including assumptions about counterparty risk. The fair value estimates reflect an income approach based on the terms of the interest rate swap contracts and inputs corroborated by observable market data, including interest rate curves.</w:t>
      </w:r>
    </w:p>
    <w:p>
      <w:pPr>
        <w:pStyle w:val="TextBody"/>
        <w:bidi w:val="0"/>
        <w:spacing w:lineRule="auto" w:line="288" w:before="180" w:after="180"/>
        <w:jc w:val="both"/>
        <w:rPr/>
      </w:pPr>
      <w:r>
        <w:rPr>
          <w:rFonts w:ascii="Times New Roman;serif" w:hAnsi="Times New Roman;serif"/>
          <w:b/>
          <w:color w:val="000000"/>
          <w:sz w:val="20"/>
        </w:rPr>
        <w:t>Financial Instruments Not Carried at Fair Value:</w:t>
      </w:r>
      <w:r>
        <w:rPr>
          <w:color w:val="000000"/>
        </w:rPr>
        <w:t xml:space="preserve"> </w:t>
      </w:r>
      <w:r>
        <w:rPr>
          <w:rFonts w:ascii="Times New Roman;serif" w:hAnsi="Times New Roman;serif"/>
          <w:b w:val="false"/>
          <w:color w:val="000000"/>
          <w:sz w:val="20"/>
        </w:rPr>
        <w:t>The table below shows the fair value and carrying value of the term loan and promissory notes (a component of notes payable) included in Total debt as shown in “</w:t>
      </w:r>
      <w:hyperlink w:anchor="i536dfd1a65fa4690be58666b4d51052e_52">
        <w:r>
          <w:rPr>
            <w:rStyle w:val="InternetLink"/>
            <w:rFonts w:ascii="Times New Roman;serif" w:hAnsi="Times New Roman;serif"/>
            <w:b w:val="false"/>
            <w:color w:val="0000FF"/>
            <w:sz w:val="20"/>
            <w:u w:val="single"/>
          </w:rPr>
          <w:t>Note 7—Debt</w:t>
        </w:r>
      </w:hyperlink>
      <w:r>
        <w:rPr>
          <w:color w:val="000000"/>
        </w:rPr>
        <w:t xml:space="preserve">” </w:t>
      </w:r>
      <w:r>
        <w:rPr>
          <w:rFonts w:ascii="Times New Roman;serif" w:hAnsi="Times New Roman;serif"/>
          <w:b w:val="false"/>
          <w:color w:val="000000"/>
          <w:sz w:val="20"/>
        </w:rPr>
        <w:t>(in thousands):</w:t>
      </w:r>
    </w:p>
    <w:tbl>
      <w:tblPr>
        <w:tblW w:w="7517" w:type="dxa"/>
        <w:jc w:val="left"/>
        <w:tblInd w:w="0" w:type="dxa"/>
        <w:tblLayout w:type="fixed"/>
        <w:tblCellMar>
          <w:top w:w="28" w:type="dxa"/>
          <w:left w:w="28" w:type="dxa"/>
          <w:bottom w:w="28" w:type="dxa"/>
          <w:right w:w="28" w:type="dxa"/>
        </w:tblCellMar>
      </w:tblPr>
      <w:tblGrid>
        <w:gridCol w:w="542"/>
        <w:gridCol w:w="476"/>
        <w:gridCol w:w="482"/>
        <w:gridCol w:w="211"/>
        <w:gridCol w:w="826"/>
        <w:gridCol w:w="109"/>
        <w:gridCol w:w="109"/>
        <w:gridCol w:w="109"/>
        <w:gridCol w:w="109"/>
        <w:gridCol w:w="248"/>
        <w:gridCol w:w="973"/>
        <w:gridCol w:w="128"/>
        <w:gridCol w:w="109"/>
        <w:gridCol w:w="109"/>
        <w:gridCol w:w="109"/>
        <w:gridCol w:w="211"/>
        <w:gridCol w:w="826"/>
        <w:gridCol w:w="109"/>
        <w:gridCol w:w="109"/>
        <w:gridCol w:w="109"/>
        <w:gridCol w:w="109"/>
        <w:gridCol w:w="247"/>
        <w:gridCol w:w="968"/>
        <w:gridCol w:w="180"/>
      </w:tblGrid>
      <w:tr>
        <w:trPr/>
        <w:tc>
          <w:tcPr>
            <w:tcW w:w="542"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Carrying Value</w:t>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997,965 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989,346 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803,995 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792,515 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Promissory notes</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23,197 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22,906 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60655"/>
                <wp:effectExtent l="0" t="0" r="0" b="0"/>
                <wp:wrapNone/>
                <wp:docPr id="23" name="Frame2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23</w:t>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Legence Corp.</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fair value of the term loan as of March 31, 2026 and December 31, 2025 was derived by taking the mid-point of the trading prices from observable market inputs in the secondary bond market for the term loan (Level 2 measurement) and multiplying it by the outstanding face value of the term loan.</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fair value of the promissory notes as of March 31, 2026 and December 31, 2025 was calculated using a discounted cash flow methodology under the income approach, using interest rate indices, risk premiums, and adjustments for the size and subordination of the instrument (Level 3 measurement).</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carrying value of the remaining notes payable and finance lease liabilities approximates fair value as of March 31, 2026 and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bookmarkStart w:id="7" w:name="i916f2849f0ab48099cdedcf426ea0d6a_2045"/>
      <w:bookmarkEnd w:id="7"/>
      <w:r>
        <w:rPr>
          <w:rFonts w:ascii="Times New Roman;serif" w:hAnsi="Times New Roman;serif"/>
          <w:b/>
          <w:color w:val="000000"/>
          <w:sz w:val="20"/>
        </w:rPr>
        <w:t>Note 9 - Derivatives</w:t>
      </w:r>
    </w:p>
    <w:p>
      <w:pPr>
        <w:pStyle w:val="TextBody"/>
        <w:bidi w:val="0"/>
        <w:spacing w:lineRule="auto" w:line="288" w:before="180" w:after="180"/>
        <w:jc w:val="both"/>
        <w:rPr/>
      </w:pPr>
      <w:r>
        <w:rPr>
          <w:rFonts w:ascii="Times New Roman;serif" w:hAnsi="Times New Roman;serif"/>
          <w:b w:val="false"/>
          <w:color w:val="000000"/>
          <w:sz w:val="20"/>
        </w:rPr>
        <w:t>I</w:t>
      </w:r>
      <w:r>
        <w:rPr>
          <w:rFonts w:ascii="Times New Roman;serif" w:hAnsi="Times New Roman;serif"/>
          <w:b/>
          <w:color w:val="000000"/>
          <w:sz w:val="20"/>
        </w:rPr>
        <w:t xml:space="preserve">nterest Rate Swaps: </w:t>
      </w:r>
      <w:r>
        <w:rPr>
          <w:rFonts w:ascii="Times New Roman;serif" w:hAnsi="Times New Roman;serif"/>
          <w:b w:val="false"/>
          <w:color w:val="000000"/>
          <w:sz w:val="20"/>
        </w:rPr>
        <w:t>The Company has multiple interest rate swap agreements designated as cash flow hedges. The Company utilizes these interest rate swap agreements to reduce exposure to fluctuations in variable interest rates for future interest payments on its term loan. The total notional amount is $785.0 million as of March 31, 2026 and December 31, 2025. Failure of the interest rate swap counterparties to make payments may result in the loss of any potential benefit to the Company under the interest rate swap agreements. The Company mitigates risk of non-performance by counterparties by dealing with highly rated counterparties. The Company does not use financial instruments for trading or speculative purposes. Additional information regarding the fair value of the Company’s interest rate swaps can be found in “</w:t>
      </w:r>
      <w:hyperlink w:anchor="i536dfd1a65fa4690be58666b4d51052e_55">
        <w:r>
          <w:rPr>
            <w:rStyle w:val="InternetLink"/>
            <w:rFonts w:ascii="Times New Roman;serif" w:hAnsi="Times New Roman;serif"/>
            <w:b w:val="false"/>
            <w:color w:val="0000FF"/>
            <w:sz w:val="20"/>
            <w:u w:val="single"/>
          </w:rPr>
          <w:t>Note 8—Fair Value Measurements</w:t>
        </w:r>
      </w:hyperlink>
      <w:r>
        <w:rPr>
          <w:color w:val="000000"/>
        </w:rPr>
        <w:t>”</w:t>
      </w:r>
      <w:r>
        <w:rPr>
          <w:rFonts w:ascii="Times New Roman;serif" w:hAnsi="Times New Roman;serif"/>
          <w:b w:val="false"/>
          <w:color w:val="000000"/>
          <w:sz w:val="20"/>
        </w:rPr>
        <w:t>.</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fair value of derivative instruments is presented on the Condensed Consolidated Balance Sheets, as follows (in thousands):</w:t>
      </w:r>
    </w:p>
    <w:tbl>
      <w:tblPr>
        <w:tblW w:w="10205" w:type="dxa"/>
        <w:jc w:val="center"/>
        <w:tblInd w:w="0" w:type="dxa"/>
        <w:tblLayout w:type="fixed"/>
        <w:tblCellMar>
          <w:top w:w="28" w:type="dxa"/>
          <w:left w:w="28" w:type="dxa"/>
          <w:bottom w:w="28" w:type="dxa"/>
          <w:right w:w="28" w:type="dxa"/>
        </w:tblCellMar>
      </w:tblPr>
      <w:tblGrid>
        <w:gridCol w:w="1271"/>
        <w:gridCol w:w="1116"/>
        <w:gridCol w:w="1122"/>
        <w:gridCol w:w="1033"/>
        <w:gridCol w:w="1025"/>
        <w:gridCol w:w="1028"/>
        <w:gridCol w:w="109"/>
        <w:gridCol w:w="109"/>
        <w:gridCol w:w="109"/>
        <w:gridCol w:w="299"/>
        <w:gridCol w:w="876"/>
        <w:gridCol w:w="154"/>
        <w:gridCol w:w="109"/>
        <w:gridCol w:w="109"/>
        <w:gridCol w:w="109"/>
        <w:gridCol w:w="411"/>
        <w:gridCol w:w="907"/>
        <w:gridCol w:w="309"/>
      </w:tblGrid>
      <w:tr>
        <w:trPr/>
        <w:tc>
          <w:tcPr>
            <w:tcW w:w="1271"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35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designated as hedging instruments</w:t>
            </w:r>
          </w:p>
        </w:tc>
        <w:tc>
          <w:tcPr>
            <w:tcW w:w="3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 asset (short-term)</w:t>
            </w:r>
          </w:p>
        </w:tc>
        <w:tc>
          <w:tcPr>
            <w:tcW w:w="30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 asset (long-term)</w:t>
            </w:r>
          </w:p>
        </w:tc>
        <w:tc>
          <w:tcPr>
            <w:tcW w:w="30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7"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 liability (short-term)</w:t>
            </w:r>
          </w:p>
        </w:tc>
        <w:tc>
          <w:tcPr>
            <w:tcW w:w="30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886 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 liability (long-term)</w:t>
            </w:r>
          </w:p>
        </w:tc>
        <w:tc>
          <w:tcPr>
            <w:tcW w:w="30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3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gross changes in Accumulated Other Comprehensive Income (“AOCI”) from the Company’s cash flow hedges (in thousands):</w:t>
      </w:r>
    </w:p>
    <w:tbl>
      <w:tblPr>
        <w:tblW w:w="8845" w:type="dxa"/>
        <w:jc w:val="center"/>
        <w:tblInd w:w="0" w:type="dxa"/>
        <w:tblLayout w:type="fixed"/>
        <w:tblCellMar>
          <w:top w:w="28" w:type="dxa"/>
          <w:left w:w="28" w:type="dxa"/>
          <w:bottom w:w="28" w:type="dxa"/>
          <w:right w:w="28" w:type="dxa"/>
        </w:tblCellMar>
      </w:tblPr>
      <w:tblGrid>
        <w:gridCol w:w="2060"/>
        <w:gridCol w:w="1807"/>
        <w:gridCol w:w="1817"/>
        <w:gridCol w:w="109"/>
        <w:gridCol w:w="109"/>
        <w:gridCol w:w="109"/>
        <w:gridCol w:w="109"/>
        <w:gridCol w:w="256"/>
        <w:gridCol w:w="749"/>
        <w:gridCol w:w="132"/>
        <w:gridCol w:w="132"/>
        <w:gridCol w:w="132"/>
        <w:gridCol w:w="132"/>
        <w:gridCol w:w="256"/>
        <w:gridCol w:w="749"/>
        <w:gridCol w:w="187"/>
      </w:tblGrid>
      <w:tr>
        <w:trPr/>
        <w:tc>
          <w:tcPr>
            <w:tcW w:w="2060"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18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5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March 31,</w:t>
            </w:r>
          </w:p>
        </w:tc>
      </w:tr>
      <w:tr>
        <w:trPr/>
        <w:tc>
          <w:tcPr>
            <w:tcW w:w="5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(698)</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9,111 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recognized in AOCI</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3,483</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(3,398)</w:t>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reclassified from AOCI to 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(373)</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(2,816)</w:t>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3,110 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(6,214)</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1,221 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2,897 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and 2025, there was no ineffectiveness recognized in earnings.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60655"/>
                <wp:effectExtent l="0" t="0" r="0" b="0"/>
                <wp:wrapNone/>
                <wp:docPr id="24" name="Frame2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24</w:t>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Legence Corp.</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additional details related to the interest rate swap agreements, as amended, that were in effect as of March 31, 2026 (notional in thousands):</w:t>
      </w:r>
    </w:p>
    <w:tbl>
      <w:tblPr>
        <w:tblW w:w="7003" w:type="dxa"/>
        <w:jc w:val="left"/>
        <w:tblInd w:w="0" w:type="dxa"/>
        <w:tblLayout w:type="fixed"/>
        <w:tblCellMar>
          <w:top w:w="28" w:type="dxa"/>
          <w:left w:w="28" w:type="dxa"/>
          <w:bottom w:w="28" w:type="dxa"/>
          <w:right w:w="28" w:type="dxa"/>
        </w:tblCellMar>
      </w:tblPr>
      <w:tblGrid>
        <w:gridCol w:w="614"/>
        <w:gridCol w:w="539"/>
        <w:gridCol w:w="542"/>
        <w:gridCol w:w="559"/>
        <w:gridCol w:w="559"/>
        <w:gridCol w:w="562"/>
        <w:gridCol w:w="579"/>
        <w:gridCol w:w="579"/>
        <w:gridCol w:w="581"/>
        <w:gridCol w:w="553"/>
        <w:gridCol w:w="553"/>
        <w:gridCol w:w="783"/>
      </w:tblGrid>
      <w:tr>
        <w:trPr/>
        <w:tc>
          <w:tcPr>
            <w:tcW w:w="61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 xml:space="preserve">Effective Date </w:t>
            </w:r>
            <w:r>
              <w:rPr>
                <w:rFonts w:ascii="Times New Roman;serif" w:hAnsi="Times New Roman;serif"/>
                <w:b w:val="false"/>
                <w:color w:val="000000"/>
                <w:sz w:val="13"/>
              </w:rPr>
              <w:t>(1)</w:t>
            </w:r>
          </w:p>
        </w:tc>
        <w:tc>
          <w:tcPr>
            <w:tcW w:w="16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Maturity Date</w:t>
            </w:r>
          </w:p>
        </w:tc>
        <w:tc>
          <w:tcPr>
            <w:tcW w:w="173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 xml:space="preserve">Notional Amount </w:t>
            </w:r>
            <w:r>
              <w:rPr>
                <w:rFonts w:ascii="Times New Roman;serif" w:hAnsi="Times New Roman;serif"/>
                <w:b w:val="false"/>
                <w:color w:val="000000"/>
                <w:sz w:val="13"/>
              </w:rPr>
              <w:t>(2)</w:t>
            </w:r>
          </w:p>
        </w:tc>
        <w:tc>
          <w:tcPr>
            <w:tcW w:w="188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 xml:space="preserve">Fixed Interest Rate </w:t>
            </w:r>
            <w:r>
              <w:rPr>
                <w:rFonts w:ascii="Times New Roman;serif" w:hAnsi="Times New Roman;serif"/>
                <w:b w:val="false"/>
                <w:color w:val="000000"/>
                <w:sz w:val="13"/>
              </w:rPr>
              <w:t>(3)</w:t>
            </w:r>
          </w:p>
        </w:tc>
      </w:tr>
      <w:tr>
        <w:trPr/>
        <w:tc>
          <w:tcPr>
            <w:tcW w:w="16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28, 2023</w:t>
            </w:r>
          </w:p>
        </w:tc>
        <w:tc>
          <w:tcPr>
            <w:tcW w:w="16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2026</w:t>
            </w:r>
          </w:p>
        </w:tc>
        <w:tc>
          <w:tcPr>
            <w:tcW w:w="17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$337,500</w:t>
            </w:r>
          </w:p>
        </w:tc>
        <w:tc>
          <w:tcPr>
            <w:tcW w:w="18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3.4396%</w:t>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28, 2023</w:t>
            </w:r>
          </w:p>
        </w:tc>
        <w:tc>
          <w:tcPr>
            <w:tcW w:w="1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2026</w:t>
            </w:r>
          </w:p>
        </w:tc>
        <w:tc>
          <w:tcPr>
            <w:tcW w:w="17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$337,500</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3.3750%</w:t>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31, 2024</w:t>
            </w:r>
          </w:p>
        </w:tc>
        <w:tc>
          <w:tcPr>
            <w:tcW w:w="1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2026</w:t>
            </w:r>
          </w:p>
        </w:tc>
        <w:tc>
          <w:tcPr>
            <w:tcW w:w="17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$110,000</w:t>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4.0433%</w:t>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2026</w:t>
            </w:r>
          </w:p>
        </w:tc>
        <w:tc>
          <w:tcPr>
            <w:tcW w:w="1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2027</w:t>
            </w:r>
          </w:p>
        </w:tc>
        <w:tc>
          <w:tcPr>
            <w:tcW w:w="17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$200,000</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3.2480%</w:t>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2026</w:t>
            </w:r>
          </w:p>
        </w:tc>
        <w:tc>
          <w:tcPr>
            <w:tcW w:w="1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2027</w:t>
            </w:r>
          </w:p>
        </w:tc>
        <w:tc>
          <w:tcPr>
            <w:tcW w:w="17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$200,000</w:t>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3.2480%</w:t>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2026</w:t>
            </w:r>
          </w:p>
        </w:tc>
        <w:tc>
          <w:tcPr>
            <w:tcW w:w="1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2028</w:t>
            </w:r>
          </w:p>
        </w:tc>
        <w:tc>
          <w:tcPr>
            <w:tcW w:w="17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$100,000</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3.4581%</w:t>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2026</w:t>
            </w:r>
          </w:p>
        </w:tc>
        <w:tc>
          <w:tcPr>
            <w:tcW w:w="1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2028</w:t>
            </w:r>
          </w:p>
        </w:tc>
        <w:tc>
          <w:tcPr>
            <w:tcW w:w="17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$100,000</w:t>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3.6995%</w:t>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(1)The interest rate swaps with effective dates of December 31, 2026 were added in July 2025 and March 2026 are not included in the notional amount as of March 31, 2026.</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(2)For the interest rate swap with a notional amount of $110,000, the notional amount was $140,000 from January 31, 2024 to September 14, 2025, and was reduced to $110,000 on September 15, 2025 in connection with a debt prepayment on that date.</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(3)Payments will be made to the Company if the one-month SOFR exceeds the fixed interest rates for the respective interest rate swaps.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additional details related to the interest rate swap agreements, as amended, that were in effect as of December 31, 2025 (notional in thousands):</w:t>
      </w:r>
    </w:p>
    <w:tbl>
      <w:tblPr>
        <w:tblW w:w="7168" w:type="dxa"/>
        <w:jc w:val="left"/>
        <w:tblInd w:w="0" w:type="dxa"/>
        <w:tblLayout w:type="fixed"/>
        <w:tblCellMar>
          <w:top w:w="28" w:type="dxa"/>
          <w:left w:w="28" w:type="dxa"/>
          <w:bottom w:w="28" w:type="dxa"/>
          <w:right w:w="28" w:type="dxa"/>
        </w:tblCellMar>
      </w:tblPr>
      <w:tblGrid>
        <w:gridCol w:w="614"/>
        <w:gridCol w:w="539"/>
        <w:gridCol w:w="542"/>
        <w:gridCol w:w="559"/>
        <w:gridCol w:w="559"/>
        <w:gridCol w:w="562"/>
        <w:gridCol w:w="634"/>
        <w:gridCol w:w="634"/>
        <w:gridCol w:w="636"/>
        <w:gridCol w:w="553"/>
        <w:gridCol w:w="553"/>
        <w:gridCol w:w="783"/>
      </w:tblGrid>
      <w:tr>
        <w:trPr/>
        <w:tc>
          <w:tcPr>
            <w:tcW w:w="61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 xml:space="preserve">Effective Date </w:t>
            </w:r>
            <w:r>
              <w:rPr>
                <w:rFonts w:ascii="Times New Roman;serif" w:hAnsi="Times New Roman;serif"/>
                <w:b w:val="false"/>
                <w:color w:val="000000"/>
                <w:sz w:val="13"/>
              </w:rPr>
              <w:t>(1)</w:t>
            </w:r>
          </w:p>
        </w:tc>
        <w:tc>
          <w:tcPr>
            <w:tcW w:w="168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Maturity Date</w:t>
            </w:r>
          </w:p>
        </w:tc>
        <w:tc>
          <w:tcPr>
            <w:tcW w:w="19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 xml:space="preserve">Notional Amount </w:t>
            </w:r>
            <w:r>
              <w:rPr>
                <w:rFonts w:ascii="Times New Roman;serif" w:hAnsi="Times New Roman;serif"/>
                <w:b w:val="false"/>
                <w:color w:val="000000"/>
                <w:sz w:val="13"/>
              </w:rPr>
              <w:t>(2)</w:t>
            </w:r>
          </w:p>
        </w:tc>
        <w:tc>
          <w:tcPr>
            <w:tcW w:w="18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 xml:space="preserve">Fixed Interest Rate </w:t>
            </w:r>
            <w:r>
              <w:rPr>
                <w:rFonts w:ascii="Times New Roman;serif" w:hAnsi="Times New Roman;serif"/>
                <w:b w:val="false"/>
                <w:color w:val="000000"/>
                <w:sz w:val="13"/>
              </w:rPr>
              <w:t>(3)</w:t>
            </w:r>
          </w:p>
        </w:tc>
      </w:tr>
      <w:tr>
        <w:trPr/>
        <w:tc>
          <w:tcPr>
            <w:tcW w:w="16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28, 2023</w:t>
            </w:r>
          </w:p>
        </w:tc>
        <w:tc>
          <w:tcPr>
            <w:tcW w:w="16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2026</w:t>
            </w:r>
          </w:p>
        </w:tc>
        <w:tc>
          <w:tcPr>
            <w:tcW w:w="19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$337,500</w:t>
            </w:r>
          </w:p>
        </w:tc>
        <w:tc>
          <w:tcPr>
            <w:tcW w:w="18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3.4396%</w:t>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28, 2023</w:t>
            </w:r>
          </w:p>
        </w:tc>
        <w:tc>
          <w:tcPr>
            <w:tcW w:w="1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2026</w:t>
            </w:r>
          </w:p>
        </w:tc>
        <w:tc>
          <w:tcPr>
            <w:tcW w:w="19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$337,500</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3.3750%</w:t>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31, 2024</w:t>
            </w:r>
          </w:p>
        </w:tc>
        <w:tc>
          <w:tcPr>
            <w:tcW w:w="1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2026</w:t>
            </w:r>
          </w:p>
        </w:tc>
        <w:tc>
          <w:tcPr>
            <w:tcW w:w="19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$110,000 —$140,000</w:t>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4.0433%</w:t>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2026</w:t>
            </w:r>
          </w:p>
        </w:tc>
        <w:tc>
          <w:tcPr>
            <w:tcW w:w="1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2027</w:t>
            </w:r>
          </w:p>
        </w:tc>
        <w:tc>
          <w:tcPr>
            <w:tcW w:w="19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$200,000</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3.2480%</w:t>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2026</w:t>
            </w:r>
          </w:p>
        </w:tc>
        <w:tc>
          <w:tcPr>
            <w:tcW w:w="1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2027</w:t>
            </w:r>
          </w:p>
        </w:tc>
        <w:tc>
          <w:tcPr>
            <w:tcW w:w="19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$200,000</w:t>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3.2480%</w:t>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(1)The interest rate swaps with effective dates of December 31, 2026 were added during July 2025 and are not included in the notional amount as of December 31, 2025.</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(2)For interest rate swaps with ranges, the notional amount is $140,000 from January 31, 2024 to September 14, 2025 and $110,000 from September 15, 2025 to December 31, 2026, due to a $30,000 reduction in notional amount in connection with a debt prepayment on September 15, 2025.</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(3)Payments will be made to the Company if the one-month SOFR exceeds the fixed interest rates for the respective interest rate swaps.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bookmarkStart w:id="8" w:name="i728913d1a2d143c885db4b3f446dce8c_1589"/>
      <w:bookmarkEnd w:id="8"/>
      <w:r>
        <w:rPr>
          <w:rFonts w:ascii="Times New Roman;serif" w:hAnsi="Times New Roman;serif"/>
          <w:b/>
          <w:color w:val="000000"/>
          <w:sz w:val="20"/>
        </w:rPr>
        <w:t>Note 10 - Stockholders’ Equity</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 xml:space="preserve">Secondary offering transactions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On January 8, 2026, the underwriters fully exercised their 30-day overallotment option related to the secondary offering completed on December 16, 2025, to purchase from the ML Entities up to 1,260,326 shares of Class A Common Stock, 780,121 of which were issued in exchange for LGN B Units, together with an equal number of corresponding shares of Class B Common Stock, held by Legence Parent ML. As a result of the exchanges, the LGN B Units that were previously classified as noncontrolling interests were converted into LGN A Units held by Legence Corp. and its subsidiaries, thereby increasing the Company’s ownership interest in Legence Holdings. The Company did not issue or sell any shares of Class A Common Stock and did not receive any proceeds from the sale of shares by the ML Entities in connection with the foregoing transactions.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On April 9, 2026, the Company completed a secondary offering of 15,394,112 shares of Class A Common Stock on behalf of the ML Entities at a public offering price of $54.00 per share, including the full exercise by the underwriters of their overallotment option to purchase up to an additional 2,007,927 shares (the “Subsequent Secondary Offering”). In connection with the Subsequent Secondary Offering, Legence Parent ML exchanged 9,528,699 issued and outstanding LGN B Units, together with an equal number of corresponding shares of Class B Common Stock, for an equal number of shares of Class A Common Stock. As a result of the exchange, the LGN B Units that were previously classified as noncontrolling interests were converted into LGN A Units held by Legence Corp. and its subsidiaries, thereby increasing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60655"/>
                <wp:effectExtent l="0" t="0" r="0" b="0"/>
                <wp:wrapNone/>
                <wp:docPr id="25" name="Frame2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25</w:t>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Legence Corp.</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Company’s ownership interest in Legence Holdings. The Company did not issue or sell any shares of Class A Common Stock and did not receive any proceeds from the sale of shares by the ML Entities in the Subsequent Secondary Offering.</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Acquisition issuances</w:t>
      </w:r>
    </w:p>
    <w:p>
      <w:pPr>
        <w:pStyle w:val="TextBody"/>
        <w:bidi w:val="0"/>
        <w:spacing w:lineRule="auto" w:line="288" w:before="0" w:after="0"/>
        <w:jc w:val="both"/>
        <w:rPr/>
      </w:pPr>
      <w:r>
        <w:rPr>
          <w:rFonts w:ascii="Times New Roman;serif" w:hAnsi="Times New Roman;serif"/>
          <w:b w:val="false"/>
          <w:color w:val="000000"/>
          <w:sz w:val="20"/>
        </w:rPr>
        <w:t>In connection with the 2026 acquisitions described in "</w:t>
      </w:r>
      <w:hyperlink w:anchor="i536dfd1a65fa4690be58666b4d51052e_34">
        <w:r>
          <w:rPr>
            <w:rStyle w:val="InternetLink"/>
            <w:rFonts w:ascii="Times New Roman;serif" w:hAnsi="Times New Roman;serif"/>
            <w:b w:val="false"/>
            <w:color w:val="0000FF"/>
            <w:sz w:val="20"/>
            <w:u w:val="single"/>
          </w:rPr>
          <w:t>Note 4—Acquisitions</w:t>
        </w:r>
      </w:hyperlink>
      <w:r>
        <w:rPr>
          <w:rFonts w:ascii="Times New Roman;serif" w:hAnsi="Times New Roman;serif"/>
          <w:b w:val="false"/>
          <w:color w:val="000000"/>
          <w:sz w:val="20"/>
        </w:rPr>
        <w:t xml:space="preserve">", the Company issued 2,701,003 shares of Class A Common Stock as noncash consideration. </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ESPP Plan</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On February 25, 2026, the Board adopted the 2026 Employee Stock Purchase Plan (“2026 ESPP”), including the reservation of 1,580,053 shares of Class A Common Stock for issuance under the 2026 ESPP. The 2026 ESPP is subject to the approval of our stockholders. Pursuant to the 2026 ESPP, eligible employees may contribute up to 15% of their eligible cash compensation during quarterly offering periods for the purchase of Class A Common Stock up to an annual maximum of $25,000 per employee. The maximum number of shares that may be purchased by an eligible employee during an offering period is 1,000 shares. On each purchase date, participants are entitled to acquire shares of Class A Common Stock at 90% of the Company's closing price on such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Note 11 - Stock-Based Compensation and Long-term Incentive Awards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Management Aggregator I and Management Aggregator II issue Series A Interests and Restricted Series C Interests to the Company’s employees. Series A Interests awards are comprised of time vesting interests (60%) (“Time Interests”), performance vesting interests (20%) (“Performance Interests”), and exit vesting interests (20%) (“Exit Interests”). The Management Aggregators are solely responsible for settling these awards and cannot direct Legence Holdings to settle or declare distributions for such purpose. The Time Interests and Restricted Series C Interests are remeasured at fair value each period, with changes recognized as capital contributions from the Management Aggregators through Legence Parent and Legence Parent II.</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Series A Interests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compensation expense (benefit) for Time Interests was as follows (in thousands):</w:t>
      </w:r>
    </w:p>
    <w:tbl>
      <w:tblPr>
        <w:tblW w:w="5680" w:type="dxa"/>
        <w:jc w:val="left"/>
        <w:tblInd w:w="0" w:type="dxa"/>
        <w:tblLayout w:type="fixed"/>
        <w:tblCellMar>
          <w:top w:w="28" w:type="dxa"/>
          <w:left w:w="28" w:type="dxa"/>
          <w:bottom w:w="28" w:type="dxa"/>
          <w:right w:w="28" w:type="dxa"/>
        </w:tblCellMar>
      </w:tblPr>
      <w:tblGrid>
        <w:gridCol w:w="1071"/>
        <w:gridCol w:w="941"/>
        <w:gridCol w:w="943"/>
        <w:gridCol w:w="237"/>
        <w:gridCol w:w="812"/>
        <w:gridCol w:w="122"/>
        <w:gridCol w:w="122"/>
        <w:gridCol w:w="122"/>
        <w:gridCol w:w="122"/>
        <w:gridCol w:w="237"/>
        <w:gridCol w:w="778"/>
        <w:gridCol w:w="173"/>
      </w:tblGrid>
      <w:tr>
        <w:trPr/>
        <w:tc>
          <w:tcPr>
            <w:tcW w:w="1071"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March 31,</w:t>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25,284 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(3,643)</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6,554 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(843)</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expense (benefit)</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31,838 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(4,486)</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March 31, 2026, the Parent Entities distributed $11.1 million to holders of Time Interests, which the Company recorded as compensation expense. There were no distributions for Time Interests for the three months ended March 31, 2025. As of March 31, 2026, the unrecognized compensation expense related to Time Interests is approximately $23.7 million to be recognized over a remaining weighted-average term of 1.2 years.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compensation expense for Performance Interests was as follows (in thousands):</w:t>
      </w:r>
    </w:p>
    <w:tbl>
      <w:tblPr>
        <w:tblW w:w="5683" w:type="dxa"/>
        <w:jc w:val="left"/>
        <w:tblInd w:w="0" w:type="dxa"/>
        <w:tblLayout w:type="fixed"/>
        <w:tblCellMar>
          <w:top w:w="28" w:type="dxa"/>
          <w:left w:w="28" w:type="dxa"/>
          <w:bottom w:w="28" w:type="dxa"/>
          <w:right w:w="28" w:type="dxa"/>
        </w:tblCellMar>
      </w:tblPr>
      <w:tblGrid>
        <w:gridCol w:w="1071"/>
        <w:gridCol w:w="941"/>
        <w:gridCol w:w="943"/>
        <w:gridCol w:w="283"/>
        <w:gridCol w:w="827"/>
        <w:gridCol w:w="146"/>
        <w:gridCol w:w="146"/>
        <w:gridCol w:w="146"/>
        <w:gridCol w:w="146"/>
        <w:gridCol w:w="283"/>
        <w:gridCol w:w="545"/>
        <w:gridCol w:w="206"/>
      </w:tblGrid>
      <w:tr>
        <w:trPr/>
        <w:tc>
          <w:tcPr>
            <w:tcW w:w="1071"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March 31,</w:t>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3,055 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Compensation expense</w:t>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3,763 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Payments related to the Performance Interests and Exit Interests are contingent upon the achievement of specified market thresholds and require the recipient’s continued employment through distribution dates. Once the applicable thresholds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60655"/>
                <wp:effectExtent l="0" t="0" r="0" b="0"/>
                <wp:wrapNone/>
                <wp:docPr id="26" name="Frame2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26</w:t>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Legence Corp.</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achieved, holders are entitled to receive payments upon each qualifying distribution from the Parent Entities. For the three months ended March 31, 2026, the Parent Entities distributed $3.8 million to holders of Performance Interests, which the Company recorded as compensation expense. There were no distributions for Performance Interests for the three months ended March 31, 2025. There were no distributions for Exit Interests and no compensation expense recorded for Exit Interests for the three months ended March 31, 2026 or 2025. Because additional distributions are dependent on future liquidity events that are not considered probable as of the financial statement dates, no compensation was accrued for these awards as of March 31, 2026 or December 31, 2025.</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Restricted Series C Interests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compensation expense for Restricted Series C Interests was as follows (in thousands):</w:t>
      </w:r>
    </w:p>
    <w:tbl>
      <w:tblPr>
        <w:tblW w:w="5681" w:type="dxa"/>
        <w:jc w:val="left"/>
        <w:tblInd w:w="0" w:type="dxa"/>
        <w:tblLayout w:type="fixed"/>
        <w:tblCellMar>
          <w:top w:w="28" w:type="dxa"/>
          <w:left w:w="28" w:type="dxa"/>
          <w:bottom w:w="28" w:type="dxa"/>
          <w:right w:w="28" w:type="dxa"/>
        </w:tblCellMar>
      </w:tblPr>
      <w:tblGrid>
        <w:gridCol w:w="1071"/>
        <w:gridCol w:w="941"/>
        <w:gridCol w:w="943"/>
        <w:gridCol w:w="313"/>
        <w:gridCol w:w="692"/>
        <w:gridCol w:w="161"/>
        <w:gridCol w:w="161"/>
        <w:gridCol w:w="161"/>
        <w:gridCol w:w="161"/>
        <w:gridCol w:w="313"/>
        <w:gridCol w:w="536"/>
        <w:gridCol w:w="228"/>
      </w:tblGrid>
      <w:tr>
        <w:trPr/>
        <w:tc>
          <w:tcPr>
            <w:tcW w:w="1071"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March 31,</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4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expense</w:t>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789 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the Parent Entities distributed $0.3 million to holders of Restricted Series C Interests, which the Company recorded as compensation expense. There were no distributions for Restricted Series C Interests for the three months ended March 31, 2025. As of March 31, 2026, the unrecognized compensation expense related to Restricted Series C Interests is approximately $1.8 million to be recognized over a remaining weighted-average term of 2.7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Note 12 - Noncontrolling Interests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Legence Corp. is the sole managing member of Legence Holdings, and the Company consolidates the financial results of Legence Holdings. Therefore, the Company reports a noncontrolling interest on the portion of net assets and income not attributable to Legence.</w:t>
      </w:r>
    </w:p>
    <w:p>
      <w:pPr>
        <w:pStyle w:val="TextBody"/>
        <w:bidi w:val="0"/>
        <w:spacing w:lineRule="auto" w:line="288" w:before="180" w:after="180"/>
        <w:jc w:val="both"/>
        <w:rPr/>
      </w:pPr>
      <w:r>
        <w:rPr>
          <w:rFonts w:ascii="Times New Roman;serif" w:hAnsi="Times New Roman;serif"/>
          <w:b w:val="false"/>
          <w:color w:val="000000"/>
          <w:sz w:val="20"/>
        </w:rPr>
        <w:t>The following table summarizes the change in ownership of Legence Holdings during the three months ended March 31, 2026. Please refer to “</w:t>
      </w:r>
      <w:hyperlink w:anchor="i536dfd1a65fa4690be58666b4d51052e_61">
        <w:r>
          <w:rPr>
            <w:rStyle w:val="InternetLink"/>
            <w:rFonts w:ascii="Times New Roman;serif" w:hAnsi="Times New Roman;serif"/>
            <w:b w:val="false"/>
            <w:color w:val="0000FF"/>
            <w:sz w:val="20"/>
            <w:u w:val="single"/>
          </w:rPr>
          <w:t>Note 10—Stockholders' Equity</w:t>
        </w:r>
      </w:hyperlink>
      <w:r>
        <w:rPr>
          <w:color w:val="000000"/>
        </w:rPr>
        <w:t xml:space="preserve">” </w:t>
      </w:r>
      <w:r>
        <w:rPr>
          <w:rFonts w:ascii="Times New Roman;serif" w:hAnsi="Times New Roman;serif"/>
          <w:b w:val="false"/>
          <w:color w:val="000000"/>
          <w:sz w:val="20"/>
        </w:rPr>
        <w:t>for additional information related to activity during the three months ended March 31, 2026.</w:t>
      </w:r>
    </w:p>
    <w:tbl>
      <w:tblPr>
        <w:tblW w:w="10205" w:type="dxa"/>
        <w:jc w:val="left"/>
        <w:tblInd w:w="0" w:type="dxa"/>
        <w:tblLayout w:type="fixed"/>
        <w:tblCellMar>
          <w:top w:w="28" w:type="dxa"/>
          <w:left w:w="28" w:type="dxa"/>
          <w:bottom w:w="28" w:type="dxa"/>
          <w:right w:w="28" w:type="dxa"/>
        </w:tblCellMar>
      </w:tblPr>
      <w:tblGrid>
        <w:gridCol w:w="660"/>
        <w:gridCol w:w="298"/>
        <w:gridCol w:w="299"/>
        <w:gridCol w:w="816"/>
        <w:gridCol w:w="281"/>
        <w:gridCol w:w="282"/>
        <w:gridCol w:w="109"/>
        <w:gridCol w:w="109"/>
        <w:gridCol w:w="109"/>
        <w:gridCol w:w="748"/>
        <w:gridCol w:w="358"/>
        <w:gridCol w:w="360"/>
        <w:gridCol w:w="109"/>
        <w:gridCol w:w="109"/>
        <w:gridCol w:w="109"/>
        <w:gridCol w:w="593"/>
        <w:gridCol w:w="593"/>
        <w:gridCol w:w="181"/>
        <w:gridCol w:w="109"/>
        <w:gridCol w:w="109"/>
        <w:gridCol w:w="109"/>
        <w:gridCol w:w="340"/>
        <w:gridCol w:w="188"/>
        <w:gridCol w:w="469"/>
        <w:gridCol w:w="109"/>
        <w:gridCol w:w="109"/>
        <w:gridCol w:w="109"/>
        <w:gridCol w:w="294"/>
        <w:gridCol w:w="239"/>
        <w:gridCol w:w="598"/>
        <w:gridCol w:w="109"/>
        <w:gridCol w:w="109"/>
        <w:gridCol w:w="109"/>
        <w:gridCol w:w="308"/>
        <w:gridCol w:w="308"/>
        <w:gridCol w:w="357"/>
      </w:tblGrid>
      <w:tr>
        <w:trPr/>
        <w:tc>
          <w:tcPr>
            <w:tcW w:w="660"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r>
      <w:tr>
        <w:trPr/>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6"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Ownership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Ownership Percentage</w:t>
            </w:r>
          </w:p>
        </w:tc>
      </w:tr>
      <w:tr>
        <w:trPr/>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Legence Corp. (LGN A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Non-</w:t>
              <w:br/>
              <w:t>controlling interests (LGN B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Legence Corp. (LGN A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Non-</w:t>
              <w:br/>
              <w:t>controlling interests (LGN B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125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Balance, December 31, 2025</w:t>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63,856,975 </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41,479,954 </w:t>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105,336,929 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60.6 </w:t>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39.4 </w:t>
            </w:r>
          </w:p>
        </w:tc>
        <w:tc>
          <w:tcPr>
            <w:tcW w:w="5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Class A Common Stock for acquisitions</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2,701,003 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2,701,003 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5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Effects of exercise of underwriters' overallotment option</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780,121 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(780,121)</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46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5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5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Balance, March 31, 2026</w:t>
            </w:r>
          </w:p>
        </w:tc>
        <w:tc>
          <w:tcPr>
            <w:tcW w:w="109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67,338,099 </w:t>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40,699,833 </w:t>
            </w:r>
          </w:p>
        </w:tc>
        <w:tc>
          <w:tcPr>
            <w:tcW w:w="3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108,037,932 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62.3 </w:t>
            </w:r>
          </w:p>
        </w:tc>
        <w:tc>
          <w:tcPr>
            <w:tcW w:w="4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37.7 </w:t>
            </w:r>
          </w:p>
        </w:tc>
        <w:tc>
          <w:tcPr>
            <w:tcW w:w="5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Net income (loss) attributable to Legence Holdings is attributed to the Company and the noncontrolling interest based on their relative ownership percentages. Changes in ownership that do not result in a loss of control are accounted for as equity transactions in accordance with ASC Topic 810, Consolidation.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60655"/>
                <wp:effectExtent l="0" t="0" r="0" b="0"/>
                <wp:wrapNone/>
                <wp:docPr id="27" name="Frame2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27</w:t>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Legence Corp.</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Noncontrolling interests as presented on the Condensed Consolidated Balance Sheets and Condensed Consolidated Statements of Operations reflect balances and activity related to the following:</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a.Legence Parent ML’s ownership of Legence Holdings.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b.Contributions from Legence Parent for Series A Interests and Restricted Series C Interests based on the percentage that Legence Parent contributes relative to the total contributions of Series A Interests and Restricted Series C Interests from Legence Parent and Legence Parent II. These capital contributions from Legence Parent recorded in noncontrolling interests are reclassified to additional paid-in capital on a proportional basis when a change in ownership occurs related to an exchange of LGN B Units.</w:t>
      </w:r>
    </w:p>
    <w:p>
      <w:pPr>
        <w:pStyle w:val="TextBody"/>
        <w:bidi w:val="0"/>
        <w:spacing w:lineRule="auto" w:line="288" w:before="0" w:after="0"/>
        <w:ind w:left="0" w:right="0" w:hanging="360"/>
        <w:jc w:val="both"/>
        <w:rPr/>
      </w:pPr>
      <w:r>
        <w:rPr>
          <w:rFonts w:ascii="Times New Roman;serif" w:hAnsi="Times New Roman;serif"/>
          <w:b w:val="false"/>
          <w:color w:val="000000"/>
          <w:sz w:val="20"/>
        </w:rPr>
        <w:t>c.Noncontrolling interests for the PCs, as discussed in “</w:t>
      </w:r>
      <w:hyperlink w:anchor="i536dfd1a65fa4690be58666b4d51052e_43">
        <w:r>
          <w:rPr>
            <w:rStyle w:val="InternetLink"/>
            <w:rFonts w:ascii="Times New Roman;serif" w:hAnsi="Times New Roman;serif"/>
            <w:b w:val="false"/>
            <w:color w:val="0000FF"/>
            <w:sz w:val="20"/>
            <w:u w:val="single"/>
          </w:rPr>
          <w:t>Note 6—Variable Interest Entities and Equity Method Investments</w:t>
        </w:r>
      </w:hyperlink>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Note 13 - Earnings Per Share</w:t>
      </w:r>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The Company calculates basic and diluted earnings per share (“EPS”) in accordance with ASC Topic 260, Earnings Per Share. Basic EPS is calculated using Net income (loss) attributable to Legence divided by the weighted-average number of shares of Class A Common Stock outstanding during the period. Diluted EPS is calculated using Net income (loss) attributable to Legence divided by the weighted-average number of shares of Class A Common Stock outstanding during the period, adjusted to give effect to potentially dilutive securities. The effect of potentially dilutive securities under the treasury stock method are not included in the computation of diluted EPS for periods in which there is a Net loss attributable to Legence, because to do so would be anti-dilutive. Potentially dilutive securities evaluated under the if-converted method are assessed each reporting period to determine their impact on diluted EPS. Class B Common Stock does not have economic rights in the Company, including no rights to dividends or distributions upon liquidation, and as a result, is not considered a participating security for basic and diluted EPS. As such, basic and diluted EPS of Class B Common Stock has not been presented.</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Company’s potentially dilutive securities consist of (i) unvested restricted stock units (“RSUs”) and unexercised stock options, with the dilutive effect calculated using the treasury stock method, (ii) exchange of LGN B Units to shares of Class A Common Stock, with the dilutive effect calculated using the if-converted method and (iii) settlement of deferred consideration related to the Bowers acquisition with shares of Class A Common Stock using the if-converted method.</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 of basic and diluted EPS. Prior to the IPO, Legence Holdings was a single-member limited liability company and did not present earnings per share. Due to the IPO and Corporate Reorganization, the Company’s capital structure before and after the IPO is not comparable and would not be meaningful to the users of these Condensed Consolidated financial statements. As a result, only earnings per share for the three months ended March 31, 2026 are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60655"/>
                <wp:effectExtent l="0" t="0" r="0" b="0"/>
                <wp:wrapNone/>
                <wp:docPr id="28" name="Frame2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28</w:t>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Legence Corp.</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004" w:type="dxa"/>
        <w:jc w:val="left"/>
        <w:tblInd w:w="0" w:type="dxa"/>
        <w:tblLayout w:type="fixed"/>
        <w:tblCellMar>
          <w:top w:w="28" w:type="dxa"/>
          <w:left w:w="28" w:type="dxa"/>
          <w:bottom w:w="28" w:type="dxa"/>
          <w:right w:w="28" w:type="dxa"/>
        </w:tblCellMar>
      </w:tblPr>
      <w:tblGrid>
        <w:gridCol w:w="2929"/>
        <w:gridCol w:w="2567"/>
        <w:gridCol w:w="2588"/>
        <w:gridCol w:w="373"/>
        <w:gridCol w:w="1275"/>
        <w:gridCol w:w="272"/>
      </w:tblGrid>
      <w:tr>
        <w:trPr/>
        <w:tc>
          <w:tcPr>
            <w:tcW w:w="2929" w:type="dxa"/>
            <w:tcBorders/>
            <w:vAlign w:val="center"/>
          </w:tcPr>
          <w:p>
            <w:pPr>
              <w:pStyle w:val="TableContents"/>
              <w:bidi w:val="0"/>
              <w:spacing w:before="0" w:after="283"/>
              <w:jc w:val="left"/>
              <w:rPr>
                <w:sz w:val="4"/>
                <w:szCs w:val="4"/>
              </w:rPr>
            </w:pPr>
            <w:r>
              <w:rPr>
                <w:sz w:val="4"/>
                <w:szCs w:val="4"/>
              </w:rPr>
            </w:r>
          </w:p>
        </w:tc>
        <w:tc>
          <w:tcPr>
            <w:tcW w:w="2567" w:type="dxa"/>
            <w:tcBorders/>
            <w:vAlign w:val="center"/>
          </w:tcPr>
          <w:p>
            <w:pPr>
              <w:pStyle w:val="TableContents"/>
              <w:bidi w:val="0"/>
              <w:spacing w:before="0" w:after="283"/>
              <w:jc w:val="left"/>
              <w:rPr>
                <w:sz w:val="4"/>
                <w:szCs w:val="4"/>
              </w:rPr>
            </w:pPr>
            <w:r>
              <w:rPr>
                <w:sz w:val="4"/>
                <w:szCs w:val="4"/>
              </w:rPr>
            </w:r>
          </w:p>
        </w:tc>
        <w:tc>
          <w:tcPr>
            <w:tcW w:w="2588"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r>
      <w:tr>
        <w:trPr/>
        <w:tc>
          <w:tcPr>
            <w:tcW w:w="8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r>
      <w:tr>
        <w:trPr/>
        <w:tc>
          <w:tcPr>
            <w:tcW w:w="80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 except per share data)</w:t>
            </w:r>
          </w:p>
        </w:tc>
        <w:tc>
          <w:tcPr>
            <w:tcW w:w="19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r>
      <w:tr>
        <w:trPr/>
        <w:tc>
          <w:tcPr>
            <w:tcW w:w="80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Numerator—basic:</w:t>
            </w:r>
          </w:p>
        </w:tc>
        <w:tc>
          <w:tcPr>
            <w:tcW w:w="19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7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17,394 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interests</w:t>
            </w:r>
          </w:p>
        </w:tc>
        <w:tc>
          <w:tcPr>
            <w:tcW w:w="19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1,300</w:t>
            </w:r>
          </w:p>
        </w:tc>
      </w:tr>
      <w:tr>
        <w:trPr/>
        <w:tc>
          <w:tcPr>
            <w:tcW w:w="80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Legence—basic</w:t>
            </w:r>
          </w:p>
        </w:tc>
        <w:tc>
          <w:tcPr>
            <w:tcW w:w="3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16,094 </w:t>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Denominator—basic:</w:t>
            </w:r>
          </w:p>
        </w:tc>
        <w:tc>
          <w:tcPr>
            <w:tcW w:w="19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Class A Common Stock outstanding—basic</w:t>
            </w:r>
          </w:p>
        </w:tc>
        <w:tc>
          <w:tcPr>
            <w:tcW w:w="19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67,151</w:t>
            </w:r>
          </w:p>
        </w:tc>
      </w:tr>
      <w:tr>
        <w:trPr/>
        <w:tc>
          <w:tcPr>
            <w:tcW w:w="80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Earnings per share—basic</w:t>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0.24 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Numerator—diluted:</w:t>
            </w:r>
          </w:p>
        </w:tc>
        <w:tc>
          <w:tcPr>
            <w:tcW w:w="19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Legence—basic</w:t>
            </w:r>
          </w:p>
        </w:tc>
        <w:tc>
          <w:tcPr>
            <w:tcW w:w="37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16,094 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effect of dilutive securities:</w:t>
            </w:r>
          </w:p>
        </w:tc>
        <w:tc>
          <w:tcPr>
            <w:tcW w:w="19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RSUs and stock options</w:t>
            </w:r>
          </w:p>
        </w:tc>
        <w:tc>
          <w:tcPr>
            <w:tcW w:w="16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assumed exchange of LGN B Units</w:t>
            </w:r>
          </w:p>
        </w:tc>
        <w:tc>
          <w:tcPr>
            <w:tcW w:w="16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(2,137)</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assumed exchange of LGN B Units prior to exercise of underwriters' overallotment option</w:t>
            </w:r>
          </w:p>
        </w:tc>
        <w:tc>
          <w:tcPr>
            <w:tcW w:w="16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Legence—diluted</w:t>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13,944 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Denominator—diluted:</w:t>
            </w:r>
          </w:p>
        </w:tc>
        <w:tc>
          <w:tcPr>
            <w:tcW w:w="19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Class A Common Stock outstanding—basic</w:t>
            </w:r>
          </w:p>
        </w:tc>
        <w:tc>
          <w:tcPr>
            <w:tcW w:w="16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67,151 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effect of dilutive securities:</w:t>
            </w:r>
          </w:p>
        </w:tc>
        <w:tc>
          <w:tcPr>
            <w:tcW w:w="1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RSUs and stock options</w:t>
            </w:r>
          </w:p>
        </w:tc>
        <w:tc>
          <w:tcPr>
            <w:tcW w:w="16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519 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assumed exchange of LGN B Units</w:t>
            </w:r>
          </w:p>
        </w:tc>
        <w:tc>
          <w:tcPr>
            <w:tcW w:w="16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40,700 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assumed exchange of LGN B Units prior to exercise of underwriters' overallotment option</w:t>
            </w:r>
          </w:p>
        </w:tc>
        <w:tc>
          <w:tcPr>
            <w:tcW w:w="16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Class A Common Stock outstanding—diluted</w:t>
            </w:r>
          </w:p>
        </w:tc>
        <w:tc>
          <w:tcPr>
            <w:tcW w:w="16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108,431 </w:t>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Earnings per share—diluted</w:t>
            </w:r>
          </w:p>
        </w:tc>
        <w:tc>
          <w:tcPr>
            <w:tcW w:w="3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0.13 </w:t>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Anti-dilutive securities that could potentially dilute EPS in the future are set forth below (in thousands):</w:t>
      </w:r>
    </w:p>
    <w:tbl>
      <w:tblPr>
        <w:tblW w:w="6299" w:type="dxa"/>
        <w:jc w:val="left"/>
        <w:tblInd w:w="0" w:type="dxa"/>
        <w:tblLayout w:type="fixed"/>
        <w:tblCellMar>
          <w:top w:w="28" w:type="dxa"/>
          <w:left w:w="28" w:type="dxa"/>
          <w:bottom w:w="28" w:type="dxa"/>
          <w:right w:w="28" w:type="dxa"/>
        </w:tblCellMar>
      </w:tblPr>
      <w:tblGrid>
        <w:gridCol w:w="1583"/>
        <w:gridCol w:w="1393"/>
        <w:gridCol w:w="1404"/>
        <w:gridCol w:w="560"/>
        <w:gridCol w:w="560"/>
        <w:gridCol w:w="799"/>
      </w:tblGrid>
      <w:tr>
        <w:trPr/>
        <w:tc>
          <w:tcPr>
            <w:tcW w:w="1583"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11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7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RSUs</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consideration related to Bowers acquisition</w:t>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992 </w:t>
            </w:r>
          </w:p>
        </w:tc>
        <w:tc>
          <w:tcPr>
            <w:tcW w:w="7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Note 14 - Tax Receivable Agreement</w:t>
      </w:r>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IPO and Corporate Reorganization, the Company entered into the Tax Receivable Agreement (“TRA”) with Legence Parent and Legence Parent II (the “TRA Members”), which are related parties. The TRA generally provides for the payment by the Company to the TRA Members of 85% of the net cash tax savings, if any, in U.S. federal, state and local income tax the Company realizes, or is deemed to realize, as a result of the Company’s (i) allocable share of existing tax basis acquired in connection with the IPO and increases to such allocable share of existing tax basis; (ii) the utilization of certain tax attributes of the blocker entities that became subsidiaries of the Company pursuant to the Corporate Reorganization; (iii) increases in tax basis resulting from future redemptions or exchanges (or deemed exchanges in certain circumstances) of Legence Holdings LGN B Units for Class A Common Stock or cash and certain distributions (or deemed distributions) by Legence Holdings pursuant to the Exchange Agreement; and (iv) certain additional tax benefits arising from payments made under the TRA. The annual tax benefits are computed on a with and without basis by calculating the income taxes due including such tax benefits, and the income taxes due without such benefits.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60655"/>
                <wp:effectExtent l="0" t="0" r="0" b="0"/>
                <wp:wrapNone/>
                <wp:docPr id="29" name="Frame2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29</w:t>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Legence Corp.</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Company retains the benefit of the remaining 15% of these cash savings, if any. Payments under the TRA are not conditioned upon any continued ownership interest in Legence Holdings or the Company.</w:t>
      </w:r>
    </w:p>
    <w:p>
      <w:pPr>
        <w:pStyle w:val="TextBody"/>
        <w:bidi w:val="0"/>
        <w:spacing w:lineRule="auto" w:line="288" w:before="180" w:after="180"/>
        <w:jc w:val="both"/>
        <w:rPr/>
      </w:pPr>
      <w:r>
        <w:rPr>
          <w:rFonts w:ascii="Times New Roman;serif" w:hAnsi="Times New Roman;serif"/>
          <w:b w:val="false"/>
          <w:color w:val="000000"/>
          <w:sz w:val="20"/>
        </w:rPr>
        <w:t>On January 8, 2026, the underwriters fully exercised their 30-day overallotment option related to the secondary offering completed on December 16, 2025. The exchange resulted in an increase to the TRA liability of $9.8 million. The exercise of the overallotment option and the impact on future TRA payments resulted in an increase to net deferred tax assets of $4.7 million. The net impact is a decrease to Additional paid-in capital of $5.1 million. Refer to “</w:t>
      </w:r>
      <w:hyperlink w:anchor="i536dfd1a65fa4690be58666b4d51052e_61">
        <w:r>
          <w:rPr>
            <w:rStyle w:val="InternetLink"/>
            <w:rFonts w:ascii="Times New Roman;serif" w:hAnsi="Times New Roman;serif"/>
            <w:b w:val="false"/>
            <w:color w:val="0000FF"/>
            <w:sz w:val="20"/>
            <w:u w:val="single"/>
          </w:rPr>
          <w:t>Note 10—Stockholders' Equity</w:t>
        </w:r>
      </w:hyperlink>
      <w:r>
        <w:rPr>
          <w:color w:val="000000"/>
        </w:rPr>
        <w:t xml:space="preserve">” </w:t>
      </w:r>
      <w:r>
        <w:rPr>
          <w:rFonts w:ascii="Times New Roman;serif" w:hAnsi="Times New Roman;serif"/>
          <w:b w:val="false"/>
          <w:color w:val="000000"/>
          <w:sz w:val="20"/>
        </w:rPr>
        <w:t>for additional information.</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TRA liability is classified as current or long term based on the expected date of payment. As of March 31, 2026, the current portion of the TRA liability is $8.2 million and is included in Accrued and other current liabilities on the Condensed Consolidated Balance Sheet.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bookmarkStart w:id="9" w:name="i53b90a9211e9467cb3e1c0839118802a_5389"/>
      <w:bookmarkEnd w:id="9"/>
      <w:r>
        <w:rPr>
          <w:rFonts w:ascii="Times New Roman;serif" w:hAnsi="Times New Roman;serif"/>
          <w:b/>
          <w:color w:val="000000"/>
          <w:sz w:val="20"/>
        </w:rPr>
        <w:t>Note 15 - Income Taxes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income tax (benefit) expense and effective income tax rate were as follows (in thousands):</w:t>
      </w:r>
    </w:p>
    <w:tbl>
      <w:tblPr>
        <w:tblW w:w="5865" w:type="dxa"/>
        <w:jc w:val="left"/>
        <w:tblInd w:w="0" w:type="dxa"/>
        <w:tblLayout w:type="fixed"/>
        <w:tblCellMar>
          <w:top w:w="28" w:type="dxa"/>
          <w:left w:w="28" w:type="dxa"/>
          <w:bottom w:w="28" w:type="dxa"/>
          <w:right w:w="28" w:type="dxa"/>
        </w:tblCellMar>
      </w:tblPr>
      <w:tblGrid>
        <w:gridCol w:w="892"/>
        <w:gridCol w:w="782"/>
        <w:gridCol w:w="785"/>
        <w:gridCol w:w="109"/>
        <w:gridCol w:w="109"/>
        <w:gridCol w:w="109"/>
        <w:gridCol w:w="109"/>
        <w:gridCol w:w="372"/>
        <w:gridCol w:w="318"/>
        <w:gridCol w:w="567"/>
        <w:gridCol w:w="191"/>
        <w:gridCol w:w="191"/>
        <w:gridCol w:w="191"/>
        <w:gridCol w:w="386"/>
        <w:gridCol w:w="199"/>
        <w:gridCol w:w="555"/>
      </w:tblGrid>
      <w:tr>
        <w:trPr/>
        <w:tc>
          <w:tcPr>
            <w:tcW w:w="89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March 31,</w:t>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5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(13,381)</w:t>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4,038</w:t>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income tax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(333.4)</w:t>
            </w:r>
          </w:p>
        </w:tc>
        <w:tc>
          <w:tcPr>
            <w:tcW w:w="5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w:t>
            </w:r>
          </w:p>
        </w:tc>
        <w:tc>
          <w:tcPr>
            <w:tcW w:w="55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Company evaluates its estimated annual effective income tax rate based on current and forecasted business results and enacted tax laws on a quarterly basis and applies this tax rate to ordinary income or loss to calculate the estimated tax liability or benefit, adjusted for discrete events arising in each respective quarter. Due to the nature of the legal structure, the effective tax rate is impacted by changes in the mix of earnings because some of the pass-through earnings are taxed at the Company level or through other corporations.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the effective tax rate was lower than the U.S. federal statutory rate of 21%, primarily due to the release of valuation allowance on deferred tax assets related to the future TRA payments. This resulted in a $20.3 million income tax benefit recognized in Income tax (benefit) expense on the Condensed Consolidated Statement of Operations for the three months ended March 31, 2026. For the three months ended March 31, 2025, the effective tax rate was lower than the U.S. federal statutory rate of 21%, primarily due to the loss before income tax from pass-through business not subject to income taxes at the Company level.</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A valuation allowance is provided when it is more likely than not that a portion or all of a deferred tax asset will not be realized. In prior periods, a partial valuation allowance was maintained against the deferred tax assets based on management’s assessment of the amount that was more-likely-than not to be realized. Each reporting period, management evaluates the realizability of deferred tax assets by considering all available positive and negative evidence, including forecasted taxable income, character of deductions, reversals of taxable temporary differences, and tax planning strategies. As of March 31, 2026, in part from the impact of the exercise of the underwriters’ overallotment option, management determined that there was sufficient positive evidence to conclude that it is more-likely-than-not that the deferred tax asset of $20.3 million associated with future TRA payments is realizable. The Company maintains a partial valuation allowance associated with the Company’s investment in Legence Holdings that would only be fully realized upon the sale of the Company’s interest in Legence Holdings.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bookmarkStart w:id="10" w:name="ifefdaafaa59d448595582a08aae59569_2083"/>
      <w:bookmarkEnd w:id="10"/>
      <w:r>
        <w:rPr>
          <w:rFonts w:ascii="Times New Roman;serif" w:hAnsi="Times New Roman;serif"/>
          <w:b/>
          <w:color w:val="000000"/>
          <w:sz w:val="20"/>
        </w:rPr>
        <w:t>Note 16 - Segment Information</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Legence reports its results under two reportable segments: (1) Engineering &amp; Consulting, and (2) Installation &amp; Maintenance. Segments are presented according to the nature of the business activities, and reflect the Company’s consideration of financial information provided to the chief executive officer, who is the Chief Operating Decision Maker (“CODM”). The CODM primarily uses gross profit to assess performance and allocate resources, including decisions such as the annual budget review and approval, allocation of resources to hire additional key personnel, entering new markets and development of new technologies, evaluating executive performance, and determining performance-related bonus plans in each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60655"/>
                <wp:effectExtent l="0" t="0" r="0" b="0"/>
                <wp:wrapNone/>
                <wp:docPr id="30" name="Frame3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30</w:t>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Legence Corp.</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80" w:after="180"/>
        <w:jc w:val="both"/>
        <w:rPr/>
      </w:pPr>
      <w:r>
        <w:rPr>
          <w:rFonts w:ascii="Times New Roman;serif" w:hAnsi="Times New Roman;serif"/>
          <w:b w:val="false"/>
          <w:i/>
          <w:color w:val="000000"/>
          <w:sz w:val="20"/>
        </w:rPr>
        <w:t xml:space="preserve">Engineering &amp; Consulting: </w:t>
      </w:r>
      <w:r>
        <w:rPr>
          <w:rFonts w:ascii="Times New Roman;serif" w:hAnsi="Times New Roman;serif"/>
          <w:b w:val="false"/>
          <w:color w:val="000000"/>
          <w:sz w:val="20"/>
        </w:rPr>
        <w:t>The Engineering &amp; Consulting segment designs HVAC and other MEP systems for buildings, develops strategies to reduce energy usage and enhance building performance, improve reliability and drive efficiency and provides program and project management services for customers’ installation and retrofit projects. Within this segment, there are two primary service offerings – Engineering &amp; Design and Program &amp; Project Management.</w:t>
      </w:r>
    </w:p>
    <w:p>
      <w:pPr>
        <w:pStyle w:val="TextBody"/>
        <w:bidi w:val="0"/>
        <w:spacing w:lineRule="auto" w:line="288" w:before="180" w:after="180"/>
        <w:jc w:val="both"/>
        <w:rPr/>
      </w:pPr>
      <w:r>
        <w:rPr>
          <w:rFonts w:ascii="Times New Roman;serif" w:hAnsi="Times New Roman;serif"/>
          <w:b w:val="false"/>
          <w:i/>
          <w:color w:val="000000"/>
          <w:sz w:val="20"/>
        </w:rPr>
        <w:t>Installation &amp; Maintenance</w:t>
      </w:r>
      <w:r>
        <w:rPr>
          <w:rFonts w:ascii="Times New Roman;serif" w:hAnsi="Times New Roman;serif"/>
          <w:b w:val="false"/>
          <w:color w:val="000000"/>
          <w:sz w:val="20"/>
        </w:rPr>
        <w:t>: The Installation &amp; Maintenance segment fabricates and installs HVAC systems, process piping and other MEP systems in new and existing industrial, commercial and institutional buildings and provides ongoing preventive and corrective maintenance services for those systems. Within this segment, there are two primary service offerings – Installation &amp; Fabrication and Maintenance &amp; Service.</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All intercompany transactions are eliminated in the Company's Condensed Consolidated Statements of Operations.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relevant segment information (in thousands):</w:t>
      </w:r>
    </w:p>
    <w:tbl>
      <w:tblPr>
        <w:tblW w:w="6476" w:type="dxa"/>
        <w:jc w:val="left"/>
        <w:tblInd w:w="0" w:type="dxa"/>
        <w:tblLayout w:type="fixed"/>
        <w:tblCellMar>
          <w:top w:w="28" w:type="dxa"/>
          <w:left w:w="28" w:type="dxa"/>
          <w:bottom w:w="28" w:type="dxa"/>
          <w:right w:w="28" w:type="dxa"/>
        </w:tblCellMar>
      </w:tblPr>
      <w:tblGrid>
        <w:gridCol w:w="849"/>
        <w:gridCol w:w="750"/>
        <w:gridCol w:w="755"/>
        <w:gridCol w:w="109"/>
        <w:gridCol w:w="109"/>
        <w:gridCol w:w="109"/>
        <w:gridCol w:w="109"/>
        <w:gridCol w:w="109"/>
        <w:gridCol w:w="109"/>
        <w:gridCol w:w="109"/>
        <w:gridCol w:w="109"/>
        <w:gridCol w:w="109"/>
        <w:gridCol w:w="109"/>
        <w:gridCol w:w="109"/>
        <w:gridCol w:w="109"/>
        <w:gridCol w:w="211"/>
        <w:gridCol w:w="976"/>
        <w:gridCol w:w="109"/>
        <w:gridCol w:w="109"/>
        <w:gridCol w:w="109"/>
        <w:gridCol w:w="109"/>
        <w:gridCol w:w="211"/>
        <w:gridCol w:w="826"/>
        <w:gridCol w:w="154"/>
      </w:tblGrid>
      <w:tr>
        <w:trPr/>
        <w:tc>
          <w:tcPr>
            <w:tcW w:w="84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March 31,</w:t>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 xml:space="preserve">Revenue: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Engineering &amp; Consulting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165,801 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145,447 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Installation &amp; Maintenance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872,092 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360,506 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1,037,893 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505,953 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Engineering &amp; Consulting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115,388 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85,794 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Installation &amp; Maintenance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736,351 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308,455 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Engineering &amp; Consulting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59,653 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Installation &amp; Maintenance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52,051 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186,154 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111,704 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reconciliation from Gross profit to Income (loss) before income tax (in thousands):</w:t>
      </w:r>
    </w:p>
    <w:tbl>
      <w:tblPr>
        <w:tblW w:w="7362" w:type="dxa"/>
        <w:jc w:val="left"/>
        <w:tblInd w:w="0" w:type="dxa"/>
        <w:tblLayout w:type="fixed"/>
        <w:tblCellMar>
          <w:top w:w="28" w:type="dxa"/>
          <w:left w:w="28" w:type="dxa"/>
          <w:bottom w:w="28" w:type="dxa"/>
          <w:right w:w="28" w:type="dxa"/>
        </w:tblCellMar>
      </w:tblPr>
      <w:tblGrid>
        <w:gridCol w:w="1207"/>
        <w:gridCol w:w="1055"/>
        <w:gridCol w:w="1067"/>
        <w:gridCol w:w="109"/>
        <w:gridCol w:w="109"/>
        <w:gridCol w:w="109"/>
        <w:gridCol w:w="109"/>
        <w:gridCol w:w="109"/>
        <w:gridCol w:w="109"/>
        <w:gridCol w:w="109"/>
        <w:gridCol w:w="109"/>
        <w:gridCol w:w="109"/>
        <w:gridCol w:w="109"/>
        <w:gridCol w:w="109"/>
        <w:gridCol w:w="109"/>
        <w:gridCol w:w="216"/>
        <w:gridCol w:w="846"/>
        <w:gridCol w:w="111"/>
        <w:gridCol w:w="111"/>
        <w:gridCol w:w="111"/>
        <w:gridCol w:w="111"/>
        <w:gridCol w:w="216"/>
        <w:gridCol w:w="846"/>
        <w:gridCol w:w="157"/>
      </w:tblGrid>
      <w:tr>
        <w:trPr/>
        <w:tc>
          <w:tcPr>
            <w:tcW w:w="1207"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March 31,</w:t>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186,154 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111,704 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116,095 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69,459 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36,828 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26,092 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11,432 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earnings of joint venture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17,000 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29,641 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Credit agreement amendment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Income (loss) before income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4,013 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(15,101)</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Separate measures of Legence’s assets, including capital expenditures, are not produced or utilized by management to evaluate segment performance.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Legence Corp.</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80" w:after="180"/>
        <w:jc w:val="both"/>
        <w:rPr>
          <w:rFonts w:ascii="Times New Roman;serif" w:hAnsi="Times New Roman;serif"/>
          <w:b/>
          <w:color w:val="000000"/>
          <w:sz w:val="20"/>
        </w:rPr>
      </w:pPr>
      <w:bookmarkStart w:id="11" w:name="i91b45897e0f44af4ac486f82421206ec_1276"/>
      <w:bookmarkEnd w:id="11"/>
      <w:r>
        <w:rPr>
          <w:rFonts w:ascii="Times New Roman;serif" w:hAnsi="Times New Roman;serif"/>
          <w:b/>
          <w:color w:val="000000"/>
          <w:sz w:val="20"/>
        </w:rPr>
        <w:t>Note 17 - Related Party Transactions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Company’s related party transactions include transactions with certain entities associated with the Company and BX Aggregators.</w:t>
      </w:r>
    </w:p>
    <w:p>
      <w:pPr>
        <w:pStyle w:val="TextBody"/>
        <w:bidi w:val="0"/>
        <w:spacing w:lineRule="auto" w:line="288" w:before="180" w:after="180"/>
        <w:jc w:val="both"/>
        <w:rPr/>
      </w:pPr>
      <w:r>
        <w:rPr>
          <w:rFonts w:ascii="Times New Roman;serif" w:hAnsi="Times New Roman;serif"/>
          <w:b w:val="false"/>
          <w:color w:val="000000"/>
          <w:sz w:val="20"/>
        </w:rPr>
        <w:t>As discussed in “</w:t>
      </w:r>
      <w:hyperlink w:anchor="i536dfd1a65fa4690be58666b4d51052e_43">
        <w:r>
          <w:rPr>
            <w:rStyle w:val="InternetLink"/>
            <w:rFonts w:ascii="Times New Roman;serif" w:hAnsi="Times New Roman;serif"/>
            <w:b w:val="false"/>
            <w:color w:val="0000FF"/>
            <w:sz w:val="20"/>
            <w:u w:val="single"/>
          </w:rPr>
          <w:t>Note 6—Variable Interest Entities and Equity Method Investments</w:t>
        </w:r>
      </w:hyperlink>
      <w:r>
        <w:rPr>
          <w:color w:val="000000"/>
        </w:rPr>
        <w:t>”</w:t>
      </w:r>
      <w:r>
        <w:rPr>
          <w:rFonts w:ascii="Times New Roman;serif" w:hAnsi="Times New Roman;serif"/>
          <w:b w:val="false"/>
          <w:color w:val="000000"/>
          <w:sz w:val="20"/>
        </w:rPr>
        <w:t>, the Company had related-party revenue from certain unconsolidated joint ventures.</w:t>
      </w:r>
    </w:p>
    <w:p>
      <w:pPr>
        <w:pStyle w:val="TextBody"/>
        <w:bidi w:val="0"/>
        <w:spacing w:lineRule="auto" w:line="288" w:before="180" w:after="180"/>
        <w:jc w:val="both"/>
        <w:rPr/>
      </w:pPr>
      <w:r>
        <w:rPr>
          <w:rFonts w:ascii="Times New Roman;serif" w:hAnsi="Times New Roman;serif"/>
          <w:b w:val="false"/>
          <w:color w:val="000000"/>
          <w:sz w:val="20"/>
        </w:rPr>
        <w:t>As discussed in “</w:t>
      </w:r>
      <w:hyperlink w:anchor="i536dfd1a65fa4690be58666b4d51052e_52">
        <w:r>
          <w:rPr>
            <w:rStyle w:val="InternetLink"/>
            <w:rFonts w:ascii="Times New Roman;serif" w:hAnsi="Times New Roman;serif"/>
            <w:b w:val="false"/>
            <w:color w:val="0000FF"/>
            <w:sz w:val="20"/>
            <w:u w:val="single"/>
          </w:rPr>
          <w:t>Note 7—Debt</w:t>
        </w:r>
      </w:hyperlink>
      <w:r>
        <w:rPr>
          <w:color w:val="000000"/>
        </w:rPr>
        <w:t>”</w:t>
      </w:r>
      <w:r>
        <w:rPr>
          <w:rFonts w:ascii="Times New Roman;serif" w:hAnsi="Times New Roman;serif"/>
          <w:b w:val="false"/>
          <w:color w:val="000000"/>
          <w:sz w:val="20"/>
        </w:rPr>
        <w:t>, a portion of the Company’s term loan is held by entities associated with the Company and BX Aggregators. As discussed in “</w:t>
      </w:r>
      <w:hyperlink w:anchor="i536dfd1a65fa4690be58666b4d51052e_52">
        <w:r>
          <w:rPr>
            <w:rStyle w:val="InternetLink"/>
            <w:rFonts w:ascii="Times New Roman;serif" w:hAnsi="Times New Roman;serif"/>
            <w:b w:val="false"/>
            <w:color w:val="0000FF"/>
            <w:sz w:val="20"/>
            <w:u w:val="single"/>
          </w:rPr>
          <w:t>Note 7—Debt</w:t>
        </w:r>
      </w:hyperlink>
      <w:r>
        <w:rPr>
          <w:color w:val="000000"/>
        </w:rPr>
        <w:t>”</w:t>
      </w:r>
      <w:r>
        <w:rPr>
          <w:rFonts w:ascii="Times New Roman;serif" w:hAnsi="Times New Roman;serif"/>
          <w:b w:val="false"/>
          <w:color w:val="000000"/>
          <w:sz w:val="20"/>
        </w:rPr>
        <w:t xml:space="preserve">, the Company issued certain related party promissory notes in connection with certain acquisitions. </w:t>
      </w:r>
    </w:p>
    <w:p>
      <w:pPr>
        <w:pStyle w:val="TextBody"/>
        <w:bidi w:val="0"/>
        <w:spacing w:lineRule="auto" w:line="288" w:before="180" w:after="180"/>
        <w:jc w:val="both"/>
        <w:rPr/>
      </w:pPr>
      <w:r>
        <w:rPr>
          <w:rFonts w:ascii="Times New Roman;serif" w:hAnsi="Times New Roman;serif"/>
          <w:b w:val="false"/>
          <w:color w:val="000000"/>
          <w:sz w:val="20"/>
        </w:rPr>
        <w:t>As discussed in “</w:t>
      </w:r>
      <w:hyperlink w:anchor="i536dfd1a65fa4690be58666b4d51052e_1980">
        <w:r>
          <w:rPr>
            <w:rStyle w:val="InternetLink"/>
            <w:rFonts w:ascii="Times New Roman;serif" w:hAnsi="Times New Roman;serif"/>
            <w:b w:val="false"/>
            <w:color w:val="0000FF"/>
            <w:sz w:val="20"/>
            <w:u w:val="single"/>
          </w:rPr>
          <w:t>Note 14—Tax Receivable Agreement</w:t>
        </w:r>
      </w:hyperlink>
      <w:r>
        <w:rPr>
          <w:color w:val="000000"/>
        </w:rPr>
        <w:t>”</w:t>
      </w:r>
      <w:r>
        <w:rPr>
          <w:rFonts w:ascii="Times New Roman;serif" w:hAnsi="Times New Roman;serif"/>
          <w:b w:val="false"/>
          <w:color w:val="000000"/>
          <w:sz w:val="20"/>
        </w:rPr>
        <w:t xml:space="preserve">, the Company entered into the TRA with TRA Members, which are related parties.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Company has various lease agreements with entities owned by members of its management team and/or owners of the Parent Entities.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bookmarkStart w:id="12" w:name="i1cc37e6ba3cf4715b24b83193ae0b6f6_3626"/>
      <w:bookmarkEnd w:id="12"/>
      <w:r>
        <w:rPr>
          <w:rFonts w:ascii="Times New Roman;serif" w:hAnsi="Times New Roman;serif"/>
          <w:b/>
          <w:color w:val="000000"/>
          <w:sz w:val="20"/>
        </w:rPr>
        <w:t>Note 18 - Commitments and Contingencies</w:t>
      </w:r>
    </w:p>
    <w:p>
      <w:pPr>
        <w:pStyle w:val="TextBody"/>
        <w:bidi w:val="0"/>
        <w:spacing w:lineRule="auto" w:line="288" w:before="180" w:after="180"/>
        <w:jc w:val="both"/>
        <w:rPr>
          <w:rFonts w:ascii="Times New Roman;serif" w:hAnsi="Times New Roman;serif"/>
          <w:b w:val="false"/>
          <w:i/>
          <w:color w:val="000000"/>
          <w:sz w:val="20"/>
        </w:rPr>
      </w:pPr>
      <w:r>
        <w:rPr>
          <w:rFonts w:ascii="Times New Roman;serif" w:hAnsi="Times New Roman;serif"/>
          <w:b w:val="false"/>
          <w:i/>
          <w:color w:val="000000"/>
          <w:sz w:val="20"/>
        </w:rPr>
        <w:t>Legal Proceedings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Company is involved in various claims and legal proceedings incidental to its normal business activities. When a potential loss from a proceeding or claim is considered probable and the amount can be reasonably estimated or a range of loss can be determined, a loss contingency is recorded. The Company also provides disclosure when it is reasonably possible that a material loss will be incurred. Although the outcome of such claims and proceedings cannot be predicted with certainty, the Company vigorously defends its position in all such matters. The Company is not aware of any known contingencies, claims or lawsuits that will have a material effect on its financial position, results of operations or cash flows other than those described herein.</w:t>
      </w:r>
    </w:p>
    <w:p>
      <w:pPr>
        <w:pStyle w:val="TextBody"/>
        <w:bidi w:val="0"/>
        <w:spacing w:lineRule="auto" w:line="288" w:before="180" w:after="180"/>
        <w:jc w:val="both"/>
        <w:rPr>
          <w:rFonts w:ascii="Times New Roman;serif" w:hAnsi="Times New Roman;serif"/>
          <w:b w:val="false"/>
          <w:i/>
          <w:color w:val="000000"/>
          <w:sz w:val="20"/>
        </w:rPr>
      </w:pPr>
      <w:r>
        <w:rPr>
          <w:rFonts w:ascii="Times New Roman;serif" w:hAnsi="Times New Roman;serif"/>
          <w:b w:val="false"/>
          <w:i/>
          <w:color w:val="000000"/>
          <w:sz w:val="20"/>
        </w:rPr>
        <w:t>Insurance</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Company carries various insurance policies to address identified risks of loss including cyber, general liability, worker’s compensation, automobile liability and professional liability risks. As of March 31, 2026 and December 31, 2025, a liability for known and expected but not yet reported claims of $2.9 million and $2.6 million, respectively, was reflected in Accrued and other current liabilities on the Condensed Consolidated Balance Sheets. The determination of such claims and expenses and the appropriateness of the related liability is continually reviewed and updated by management.</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Company is self-insured for its medical coverage. The Company is responsible for the first $0.3 million of claims for each participant enrolled in the medical coverage plan. Any claims exceeding $0.3 million are covered through a stop-loss insurance plan. A liability for expected but not yet reported claims in the amount of $2.8 million and $3.2 million was reflected in Accrued compensation and benefits on the Condensed Consolidated Balance Sheets as of March 31, 2026 and December 31, 2025, respectively.</w:t>
      </w:r>
    </w:p>
    <w:p>
      <w:pPr>
        <w:pStyle w:val="TextBody"/>
        <w:bidi w:val="0"/>
        <w:spacing w:lineRule="auto" w:line="288" w:before="180" w:after="180"/>
        <w:jc w:val="both"/>
        <w:rPr>
          <w:rFonts w:ascii="Times New Roman;serif" w:hAnsi="Times New Roman;serif"/>
          <w:b w:val="false"/>
          <w:i/>
          <w:color w:val="000000"/>
          <w:sz w:val="20"/>
        </w:rPr>
      </w:pPr>
      <w:r>
        <w:rPr>
          <w:rFonts w:ascii="Times New Roman;serif" w:hAnsi="Times New Roman;serif"/>
          <w:b w:val="false"/>
          <w:i/>
          <w:color w:val="000000"/>
          <w:sz w:val="20"/>
        </w:rPr>
        <w:t>Surety</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As a requirement under certain contracts, various Legence subsidiaries procure performance and payment bonds through surety underwriters. As a condition for having surety companies write bonds on Legence subsidiaries’ behalf, Legence enters into indemnification agreements with the surety companies. Total outstanding bonds were approximately $1,562.4 million and $561.5 million as of March 31, 2026, and December 31, 2025, respectively.</w:t>
      </w:r>
    </w:p>
    <w:p>
      <w:pPr>
        <w:pStyle w:val="TextBody"/>
        <w:bidi w:val="0"/>
        <w:spacing w:lineRule="auto" w:line="288" w:before="180" w:after="180"/>
        <w:jc w:val="both"/>
        <w:rPr>
          <w:rFonts w:ascii="Times New Roman;serif" w:hAnsi="Times New Roman;serif"/>
          <w:b w:val="false"/>
          <w:i/>
          <w:color w:val="000000"/>
          <w:sz w:val="20"/>
        </w:rPr>
      </w:pPr>
      <w:r>
        <w:rPr>
          <w:rFonts w:ascii="Times New Roman;serif" w:hAnsi="Times New Roman;serif"/>
          <w:b w:val="false"/>
          <w:i/>
          <w:color w:val="000000"/>
          <w:sz w:val="20"/>
        </w:rPr>
        <w:t>Customer Guarantees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As part of its normal course of business, the Company offers guaranteed energy savings to customers under certain contracts. As of March 31, 2026 and December 31, 2025, total guarantees were $299.8 million and $307.4 million, respectively. Historically, the Company has not incurred material losses in connection with these guarantees. Further, management is not aware of any changes in the ability of the Company to meet these guarantees and does not expect to incur significant losses related to these guarantees in the foreseeable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Legence Corp.</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80" w:after="180"/>
        <w:jc w:val="both"/>
        <w:rPr>
          <w:rFonts w:ascii="Times New Roman;serif" w:hAnsi="Times New Roman;serif"/>
          <w:b w:val="false"/>
          <w:i/>
          <w:color w:val="000000"/>
          <w:sz w:val="20"/>
        </w:rPr>
      </w:pPr>
      <w:r>
        <w:rPr>
          <w:rFonts w:ascii="Times New Roman;serif" w:hAnsi="Times New Roman;serif"/>
          <w:b w:val="false"/>
          <w:i/>
          <w:color w:val="000000"/>
          <w:sz w:val="20"/>
        </w:rPr>
        <w:t>Letters of Credit</w:t>
      </w:r>
    </w:p>
    <w:p>
      <w:pPr>
        <w:pStyle w:val="TextBody"/>
        <w:bidi w:val="0"/>
        <w:spacing w:lineRule="auto" w:line="288" w:before="180" w:after="180"/>
        <w:jc w:val="both"/>
        <w:rPr/>
      </w:pPr>
      <w:r>
        <w:rPr>
          <w:rFonts w:ascii="Times New Roman;serif" w:hAnsi="Times New Roman;serif"/>
          <w:b w:val="false"/>
          <w:color w:val="000000"/>
          <w:sz w:val="20"/>
        </w:rPr>
        <w:t>As discussed in “</w:t>
      </w:r>
      <w:hyperlink w:anchor="i536dfd1a65fa4690be58666b4d51052e_52">
        <w:r>
          <w:rPr>
            <w:rStyle w:val="InternetLink"/>
            <w:rFonts w:ascii="Times New Roman;serif" w:hAnsi="Times New Roman;serif"/>
            <w:b w:val="false"/>
            <w:color w:val="0000FF"/>
            <w:sz w:val="20"/>
            <w:u w:val="single"/>
          </w:rPr>
          <w:t>Note 7—Debt</w:t>
        </w:r>
      </w:hyperlink>
      <w:r>
        <w:rPr>
          <w:color w:val="000000"/>
        </w:rPr>
        <w:t>”</w:t>
      </w:r>
      <w:r>
        <w:rPr>
          <w:rFonts w:ascii="Times New Roman;serif" w:hAnsi="Times New Roman;serif"/>
          <w:b w:val="false"/>
          <w:color w:val="000000"/>
          <w:sz w:val="20"/>
        </w:rPr>
        <w:t>, the standby letters of credit are secured through the revolving credit facility. As of March 31, 2026 and December 31, 2025, the Company had $30.7 million and $5.7 million, respectively, in standby letters of credit primarily related to surety bonds and the deductibles of insurance policies.</w:t>
      </w:r>
    </w:p>
    <w:p>
      <w:pPr>
        <w:pStyle w:val="TextBody"/>
        <w:bidi w:val="0"/>
        <w:spacing w:lineRule="auto" w:line="288" w:before="180" w:after="180"/>
        <w:jc w:val="both"/>
        <w:rPr>
          <w:rFonts w:ascii="Times New Roman;serif" w:hAnsi="Times New Roman;serif"/>
          <w:b w:val="false"/>
          <w:i/>
          <w:color w:val="000000"/>
          <w:sz w:val="20"/>
        </w:rPr>
      </w:pPr>
      <w:r>
        <w:rPr>
          <w:rFonts w:ascii="Times New Roman;serif" w:hAnsi="Times New Roman;serif"/>
          <w:b w:val="false"/>
          <w:i/>
          <w:color w:val="000000"/>
          <w:sz w:val="20"/>
        </w:rPr>
        <w:t>Tax Receivable Agreement</w:t>
      </w:r>
    </w:p>
    <w:p>
      <w:pPr>
        <w:pStyle w:val="TextBody"/>
        <w:bidi w:val="0"/>
        <w:spacing w:lineRule="auto" w:line="288" w:before="180" w:after="180"/>
        <w:jc w:val="both"/>
        <w:rPr/>
      </w:pPr>
      <w:r>
        <w:rPr>
          <w:rFonts w:ascii="Times New Roman;serif" w:hAnsi="Times New Roman;serif"/>
          <w:b w:val="false"/>
          <w:color w:val="000000"/>
          <w:sz w:val="20"/>
        </w:rPr>
        <w:t>Amounts payable under the TRA are accounted for in accordance with ASC Topic 450, Contingencies. Refer to “</w:t>
      </w:r>
      <w:hyperlink w:anchor="i536dfd1a65fa4690be58666b4d51052e_1980">
        <w:r>
          <w:rPr>
            <w:rStyle w:val="InternetLink"/>
            <w:rFonts w:ascii="Times New Roman;serif" w:hAnsi="Times New Roman;serif"/>
            <w:b w:val="false"/>
            <w:color w:val="0000FF"/>
            <w:sz w:val="20"/>
            <w:u w:val="single"/>
          </w:rPr>
          <w:t>Note 14—Tax Receivable Agreement</w:t>
        </w:r>
      </w:hyperlink>
      <w:r>
        <w:rPr>
          <w:color w:val="000000"/>
        </w:rPr>
        <w:t xml:space="preserve">” </w:t>
      </w:r>
      <w:r>
        <w:rPr>
          <w:rFonts w:ascii="Times New Roman;serif" w:hAnsi="Times New Roman;serif"/>
          <w:b w:val="false"/>
          <w:color w:val="000000"/>
          <w:sz w:val="20"/>
        </w:rPr>
        <w:t>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bookmarkStart w:id="13" w:name="i6729b916a7e14df6ace5de363e4aa60b_1141"/>
      <w:bookmarkEnd w:id="13"/>
      <w:r>
        <w:rPr>
          <w:rFonts w:ascii="Times New Roman;serif" w:hAnsi="Times New Roman;serif"/>
          <w:b/>
          <w:color w:val="000000"/>
          <w:sz w:val="20"/>
        </w:rPr>
        <w:t>Note 19 - Other Financial Information</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Accounts receivable, net consists of the following (in thousands):</w:t>
      </w:r>
    </w:p>
    <w:tbl>
      <w:tblPr>
        <w:tblW w:w="5831" w:type="dxa"/>
        <w:jc w:val="left"/>
        <w:tblInd w:w="0" w:type="dxa"/>
        <w:tblLayout w:type="fixed"/>
        <w:tblCellMar>
          <w:top w:w="28" w:type="dxa"/>
          <w:left w:w="28" w:type="dxa"/>
          <w:bottom w:w="28" w:type="dxa"/>
          <w:right w:w="28" w:type="dxa"/>
        </w:tblCellMar>
      </w:tblPr>
      <w:tblGrid>
        <w:gridCol w:w="863"/>
        <w:gridCol w:w="758"/>
        <w:gridCol w:w="763"/>
        <w:gridCol w:w="257"/>
        <w:gridCol w:w="1006"/>
        <w:gridCol w:w="132"/>
        <w:gridCol w:w="109"/>
        <w:gridCol w:w="109"/>
        <w:gridCol w:w="109"/>
        <w:gridCol w:w="305"/>
        <w:gridCol w:w="1197"/>
        <w:gridCol w:w="223"/>
      </w:tblGrid>
      <w:tr>
        <w:trPr/>
        <w:tc>
          <w:tcPr>
            <w:tcW w:w="86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Contracts receivable, net</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818,575 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569,812 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receivable—other</w:t>
            </w:r>
          </w:p>
        </w:tc>
        <w:tc>
          <w:tcPr>
            <w:tcW w:w="139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8,680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14,248</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Accounts receivable, net</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827,255 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584,060 </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 consists of the following (in thousands):</w:t>
      </w:r>
    </w:p>
    <w:tbl>
      <w:tblPr>
        <w:tblW w:w="7184" w:type="dxa"/>
        <w:jc w:val="left"/>
        <w:tblInd w:w="0" w:type="dxa"/>
        <w:tblLayout w:type="fixed"/>
        <w:tblCellMar>
          <w:top w:w="28" w:type="dxa"/>
          <w:left w:w="28" w:type="dxa"/>
          <w:bottom w:w="28" w:type="dxa"/>
          <w:right w:w="28" w:type="dxa"/>
        </w:tblCellMar>
      </w:tblPr>
      <w:tblGrid>
        <w:gridCol w:w="1314"/>
        <w:gridCol w:w="1153"/>
        <w:gridCol w:w="1162"/>
        <w:gridCol w:w="282"/>
        <w:gridCol w:w="966"/>
        <w:gridCol w:w="146"/>
        <w:gridCol w:w="109"/>
        <w:gridCol w:w="109"/>
        <w:gridCol w:w="109"/>
        <w:gridCol w:w="340"/>
        <w:gridCol w:w="1164"/>
        <w:gridCol w:w="176"/>
        <w:gridCol w:w="154"/>
      </w:tblGrid>
      <w:tr>
        <w:trPr/>
        <w:tc>
          <w:tcPr>
            <w:tcW w:w="1314"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1,671 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23,754 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22,597 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14,246 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11,303 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contract costs</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Prepaid expenses and other current assets</w:t>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42,974 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36,179 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Accrued and other current liabilities consists of the following (in thousands):</w:t>
      </w:r>
    </w:p>
    <w:tbl>
      <w:tblPr>
        <w:tblW w:w="8979" w:type="dxa"/>
        <w:jc w:val="left"/>
        <w:tblInd w:w="0" w:type="dxa"/>
        <w:tblLayout w:type="fixed"/>
        <w:tblCellMar>
          <w:top w:w="28" w:type="dxa"/>
          <w:left w:w="28" w:type="dxa"/>
          <w:bottom w:w="28" w:type="dxa"/>
          <w:right w:w="28" w:type="dxa"/>
        </w:tblCellMar>
      </w:tblPr>
      <w:tblGrid>
        <w:gridCol w:w="2005"/>
        <w:gridCol w:w="1763"/>
        <w:gridCol w:w="1766"/>
        <w:gridCol w:w="282"/>
        <w:gridCol w:w="966"/>
        <w:gridCol w:w="146"/>
        <w:gridCol w:w="109"/>
        <w:gridCol w:w="109"/>
        <w:gridCol w:w="109"/>
        <w:gridCol w:w="335"/>
        <w:gridCol w:w="1145"/>
        <w:gridCol w:w="244"/>
      </w:tblGrid>
      <w:tr>
        <w:trPr/>
        <w:tc>
          <w:tcPr>
            <w:tcW w:w="2005" w:type="dxa"/>
            <w:tcBorders/>
            <w:vAlign w:val="center"/>
          </w:tcPr>
          <w:p>
            <w:pPr>
              <w:pStyle w:val="TableContents"/>
              <w:bidi w:val="0"/>
              <w:spacing w:before="0" w:after="283"/>
              <w:jc w:val="left"/>
              <w:rPr>
                <w:sz w:val="4"/>
                <w:szCs w:val="4"/>
              </w:rPr>
            </w:pPr>
            <w:r>
              <w:rPr>
                <w:sz w:val="4"/>
                <w:szCs w:val="4"/>
              </w:rPr>
            </w:r>
          </w:p>
        </w:tc>
        <w:tc>
          <w:tcPr>
            <w:tcW w:w="1763" w:type="dxa"/>
            <w:tcBorders/>
            <w:vAlign w:val="center"/>
          </w:tcPr>
          <w:p>
            <w:pPr>
              <w:pStyle w:val="TableContents"/>
              <w:bidi w:val="0"/>
              <w:spacing w:before="0" w:after="283"/>
              <w:jc w:val="left"/>
              <w:rPr>
                <w:sz w:val="4"/>
                <w:szCs w:val="4"/>
              </w:rPr>
            </w:pPr>
            <w:r>
              <w:rPr>
                <w:sz w:val="4"/>
                <w:szCs w:val="4"/>
              </w:rPr>
            </w:r>
          </w:p>
        </w:tc>
        <w:tc>
          <w:tcPr>
            <w:tcW w:w="176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5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consideration</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46,129 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tax receivable agreement liability - related party</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8,150 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19,570 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16,475 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Accrued and other current liabilities</w:t>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73,849 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16,475 </w:t>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Legence Corp.</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80" w:after="180"/>
        <w:jc w:val="both"/>
        <w:rPr/>
      </w:pPr>
      <w:r>
        <w:rPr>
          <w:rFonts w:ascii="Times New Roman;serif" w:hAnsi="Times New Roman;serif"/>
          <w:b w:val="false"/>
          <w:i/>
          <w:color w:val="000000"/>
          <w:sz w:val="20"/>
        </w:rPr>
        <w:t>Condensed</w:t>
      </w:r>
      <w:r>
        <w:rPr>
          <w:color w:val="000000"/>
        </w:rPr>
        <w:t xml:space="preserve"> </w:t>
      </w:r>
      <w:r>
        <w:rPr>
          <w:rFonts w:ascii="Times New Roman;serif" w:hAnsi="Times New Roman;serif"/>
          <w:b w:val="false"/>
          <w:i/>
          <w:color w:val="000000"/>
          <w:sz w:val="20"/>
        </w:rPr>
        <w:t>Consolidated Statements of Cash Flows Information</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Additional cash flow information was as follows (in thousands):</w:t>
      </w:r>
    </w:p>
    <w:tbl>
      <w:tblPr>
        <w:tblW w:w="10205" w:type="dxa"/>
        <w:jc w:val="left"/>
        <w:tblInd w:w="0" w:type="dxa"/>
        <w:tblLayout w:type="fixed"/>
        <w:tblCellMar>
          <w:top w:w="28" w:type="dxa"/>
          <w:left w:w="28" w:type="dxa"/>
          <w:bottom w:w="28" w:type="dxa"/>
          <w:right w:w="28" w:type="dxa"/>
        </w:tblCellMar>
      </w:tblPr>
      <w:tblGrid>
        <w:gridCol w:w="2767"/>
        <w:gridCol w:w="2368"/>
        <w:gridCol w:w="2379"/>
        <w:gridCol w:w="230"/>
        <w:gridCol w:w="790"/>
        <w:gridCol w:w="119"/>
        <w:gridCol w:w="119"/>
        <w:gridCol w:w="119"/>
        <w:gridCol w:w="119"/>
        <w:gridCol w:w="230"/>
        <w:gridCol w:w="790"/>
        <w:gridCol w:w="175"/>
      </w:tblGrid>
      <w:tr>
        <w:trPr/>
        <w:tc>
          <w:tcPr>
            <w:tcW w:w="2767"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237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7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March 31,</w:t>
            </w:r>
          </w:p>
        </w:tc>
      </w:tr>
      <w:tr>
        <w:trPr/>
        <w:tc>
          <w:tcPr>
            <w:tcW w:w="7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75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paid for interest and taxes</w:t>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Interest paid, net of interest rate swaps</w:t>
            </w:r>
            <w:r>
              <w:rPr>
                <w:rFonts w:ascii="Times New Roman;serif" w:hAnsi="Times New Roman;serif"/>
                <w:b w:val="false"/>
                <w:color w:val="000000"/>
                <w:sz w:val="13"/>
              </w:rPr>
              <w:t>(1)</w:t>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16,158 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28,301 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paid, net of refunds</w:t>
            </w:r>
          </w:p>
        </w:tc>
        <w:tc>
          <w:tcPr>
            <w:tcW w:w="2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Non-cash investing activities</w:t>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increase in Property and equipment additions included in Accounts payable</w:t>
            </w:r>
          </w:p>
        </w:tc>
        <w:tc>
          <w:tcPr>
            <w:tcW w:w="2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(1,846)</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1,010 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Non-cash financing activities</w:t>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offering costs included in Accounts payable</w:t>
            </w:r>
          </w:p>
        </w:tc>
        <w:tc>
          <w:tcPr>
            <w:tcW w:w="2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4,767 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offering costs included in Accrued and other current liabilities</w:t>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2,556 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 from Legence Parent for Series A Interests and Restricted Series C Interests</w:t>
            </w:r>
          </w:p>
        </w:tc>
        <w:tc>
          <w:tcPr>
            <w:tcW w:w="2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22,825 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 from Legence Parent II for Series A Interests</w:t>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13,565 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 receivable agreement liability and deferred taxes arising from exchanges of Class B Common Stock</w:t>
            </w:r>
          </w:p>
        </w:tc>
        <w:tc>
          <w:tcPr>
            <w:tcW w:w="2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5,112 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Supplemental non-cash lease information</w:t>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Right-of-use assets obtained in exchange for new operating lease liabilities</w:t>
            </w:r>
            <w:r>
              <w:rPr>
                <w:rFonts w:ascii="Times New Roman;serif" w:hAnsi="Times New Roman;serif"/>
                <w:b w:val="false"/>
                <w:color w:val="000000"/>
                <w:sz w:val="13"/>
              </w:rPr>
              <w:t>(2)</w:t>
            </w:r>
          </w:p>
        </w:tc>
        <w:tc>
          <w:tcPr>
            <w:tcW w:w="2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28,998 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6,929 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Right-of-use assets obtained in exchange for new finance lease liabilities</w:t>
            </w:r>
            <w:r>
              <w:rPr>
                <w:rFonts w:ascii="Times New Roman;serif" w:hAnsi="Times New Roman;serif"/>
                <w:b w:val="false"/>
                <w:color w:val="000000"/>
                <w:sz w:val="13"/>
              </w:rPr>
              <w:t>(2)</w:t>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1,746 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 modifications for operating leases</w:t>
            </w:r>
          </w:p>
        </w:tc>
        <w:tc>
          <w:tcPr>
            <w:tcW w:w="2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imes New Roman;serif" w:hAnsi="Times New Roman;serif"/>
          <w:b w:val="false"/>
          <w:color w:val="000000"/>
          <w:sz w:val="16"/>
        </w:rPr>
        <w:t>(1)The Company classifies the cash flows resulting from its interest rate swaps in Cash provided by operating activities on the Condensed Consolidated Statements of Cash Flows consistent with the interest that is hedged. Refer to “</w:t>
      </w:r>
      <w:hyperlink w:anchor="i536dfd1a65fa4690be58666b4d51052e_58">
        <w:r>
          <w:rPr>
            <w:rStyle w:val="InternetLink"/>
          </w:rPr>
          <w:t>Note 9</w:t>
        </w:r>
      </w:hyperlink>
      <w:hyperlink w:anchor="i536dfd1a65fa4690be58666b4d51052e_58">
        <w:r>
          <w:rPr>
            <w:rStyle w:val="InternetLink"/>
          </w:rPr>
          <w:t>—</w:t>
        </w:r>
      </w:hyperlink>
      <w:hyperlink w:anchor="i536dfd1a65fa4690be58666b4d51052e_58">
        <w:r>
          <w:rPr>
            <w:rStyle w:val="InternetLink"/>
          </w:rPr>
          <w:t>Derivatives</w:t>
        </w:r>
      </w:hyperlink>
      <w:r>
        <w:rPr>
          <w:color w:val="000000"/>
        </w:rPr>
        <w:t xml:space="preserve">” </w:t>
      </w:r>
      <w:r>
        <w:rPr>
          <w:rFonts w:ascii="Times New Roman;serif" w:hAnsi="Times New Roman;serif"/>
          <w:b w:val="false"/>
          <w:color w:val="000000"/>
          <w:sz w:val="16"/>
        </w:rPr>
        <w:t>for additional information on the Company’s interest rate swaps.</w:t>
      </w:r>
    </w:p>
    <w:p>
      <w:pPr>
        <w:pStyle w:val="TextBody"/>
        <w:bidi w:val="0"/>
        <w:spacing w:lineRule="auto" w:line="288" w:before="0" w:after="180"/>
        <w:ind w:left="0" w:right="0" w:hanging="360"/>
        <w:jc w:val="left"/>
        <w:rPr/>
      </w:pPr>
      <w:r>
        <w:rPr>
          <w:rFonts w:ascii="Times New Roman;serif" w:hAnsi="Times New Roman;serif"/>
          <w:b w:val="false"/>
          <w:color w:val="000000"/>
          <w:sz w:val="16"/>
        </w:rPr>
        <w:t>(2)Includes right-of-use assets acquired. Refer to “</w:t>
      </w:r>
      <w:hyperlink w:anchor="i536dfd1a65fa4690be58666b4d51052e_34">
        <w:r>
          <w:rPr>
            <w:rStyle w:val="InternetLink"/>
            <w:rFonts w:ascii="Times New Roman;serif" w:hAnsi="Times New Roman;serif"/>
            <w:b w:val="false"/>
            <w:color w:val="0000FF"/>
            <w:sz w:val="16"/>
            <w:u w:val="single"/>
          </w:rPr>
          <w:t>Note 4—Acquisitions</w:t>
        </w:r>
      </w:hyperlink>
      <w:r>
        <w:rPr>
          <w:color w:val="000000"/>
        </w:rPr>
        <w:t>”</w:t>
      </w:r>
      <w:r>
        <w:rPr>
          <w:rFonts w:ascii="Times New Roman;serif" w:hAnsi="Times New Roman;serif"/>
          <w:b w:val="false"/>
          <w:color w:val="000000"/>
          <w:sz w:val="16"/>
        </w:rPr>
        <w:t xml:space="preserve">. </w:t>
      </w:r>
    </w:p>
    <w:p>
      <w:pPr>
        <w:pStyle w:val="TextBody"/>
        <w:bidi w:val="0"/>
        <w:spacing w:lineRule="auto" w:line="288" w:before="180" w:after="180"/>
        <w:jc w:val="both"/>
        <w:rPr/>
      </w:pPr>
      <w:r>
        <w:rPr>
          <w:rFonts w:ascii="Times New Roman;serif" w:hAnsi="Times New Roman;serif"/>
          <w:b w:val="false"/>
          <w:color w:val="000000"/>
          <w:sz w:val="20"/>
        </w:rPr>
        <w:t>Refer to “</w:t>
      </w:r>
      <w:hyperlink w:anchor="i536dfd1a65fa4690be58666b4d51052e_34">
        <w:r>
          <w:rPr>
            <w:rStyle w:val="InternetLink"/>
            <w:rFonts w:ascii="Times New Roman;serif" w:hAnsi="Times New Roman;serif"/>
            <w:b w:val="false"/>
            <w:color w:val="000080"/>
            <w:sz w:val="20"/>
            <w:u w:val="single"/>
          </w:rPr>
          <w:t>Note 4</w:t>
        </w:r>
      </w:hyperlink>
      <w:hyperlink w:anchor="i536dfd1a65fa4690be58666b4d51052e_34">
        <w:r>
          <w:rPr>
            <w:rStyle w:val="InternetLink"/>
            <w:rFonts w:ascii="Times New Roman;serif" w:hAnsi="Times New Roman;serif"/>
            <w:b w:val="false"/>
            <w:color w:val="000080"/>
            <w:sz w:val="20"/>
            <w:u w:val="single"/>
          </w:rPr>
          <w:t>—</w:t>
        </w:r>
      </w:hyperlink>
      <w:hyperlink w:anchor="i536dfd1a65fa4690be58666b4d51052e_34">
        <w:r>
          <w:rPr>
            <w:rStyle w:val="InternetLink"/>
            <w:rFonts w:ascii="Times New Roman;serif" w:hAnsi="Times New Roman;serif"/>
            <w:b w:val="false"/>
            <w:color w:val="000080"/>
            <w:sz w:val="20"/>
            <w:u w:val="single"/>
          </w:rPr>
          <w:t>Acquisitions</w:t>
        </w:r>
      </w:hyperlink>
      <w:r>
        <w:rPr>
          <w:color w:val="000000"/>
        </w:rPr>
        <w:t xml:space="preserve">” </w:t>
      </w:r>
      <w:r>
        <w:rPr>
          <w:rFonts w:ascii="Times New Roman;serif" w:hAnsi="Times New Roman;serif"/>
          <w:b w:val="false"/>
          <w:color w:val="000000"/>
          <w:sz w:val="20"/>
        </w:rPr>
        <w:t>for disclosure of non-cash financing of acquisitions through issuance of Class A Common Stock and deferred consideration.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bookmarkStart w:id="14" w:name="id53be34dbf594baeb4906d6d11f35b3a_232"/>
      <w:bookmarkEnd w:id="14"/>
      <w:r>
        <w:rPr>
          <w:rFonts w:ascii="Times New Roman;serif" w:hAnsi="Times New Roman;serif"/>
          <w:b/>
          <w:color w:val="000000"/>
          <w:sz w:val="20"/>
        </w:rPr>
        <w:t>Note 20 - Subsequent Events</w:t>
      </w:r>
    </w:p>
    <w:p>
      <w:pPr>
        <w:pStyle w:val="TextBody"/>
        <w:bidi w:val="0"/>
        <w:spacing w:lineRule="auto" w:line="288" w:before="240" w:after="180"/>
        <w:jc w:val="both"/>
        <w:rPr/>
      </w:pPr>
      <w:r>
        <w:rPr>
          <w:rFonts w:ascii="Times New Roman;serif" w:hAnsi="Times New Roman;serif"/>
          <w:b w:val="false"/>
          <w:color w:val="000000"/>
          <w:sz w:val="20"/>
        </w:rPr>
        <w:t>Refer to “</w:t>
      </w:r>
      <w:hyperlink w:anchor="i536dfd1a65fa4690be58666b4d51052e_61">
        <w:r>
          <w:rPr>
            <w:rStyle w:val="InternetLink"/>
            <w:rFonts w:ascii="Times New Roman;serif" w:hAnsi="Times New Roman;serif"/>
            <w:b w:val="false"/>
            <w:color w:val="0000FF"/>
            <w:sz w:val="20"/>
            <w:u w:val="single"/>
          </w:rPr>
          <w:t>Note 10—Stockholders' Equity</w:t>
        </w:r>
      </w:hyperlink>
      <w:r>
        <w:rPr>
          <w:color w:val="000000"/>
        </w:rPr>
        <w:t xml:space="preserve">” </w:t>
      </w:r>
      <w:r>
        <w:rPr>
          <w:rFonts w:ascii="Times New Roman;serif" w:hAnsi="Times New Roman;serif"/>
          <w:b w:val="false"/>
          <w:color w:val="000000"/>
          <w:sz w:val="20"/>
        </w:rPr>
        <w:t>for a discussion of the Subsequent Secondary Offering.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MANAGEMENT’S DISCUSSION AND ANALYSIS OF FINANCIAL CONDITION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AND RESULTS OF OPERATIONS </w:t>
      </w:r>
    </w:p>
    <w:p>
      <w:pPr>
        <w:pStyle w:val="TextBody"/>
        <w:bidi w:val="0"/>
        <w:spacing w:lineRule="auto" w:line="288" w:before="180" w:after="180"/>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of our financial condition and results of operations should be read in conjunction with our unaudited Condensed Consolidated Financial Statements and the related notes thereto that appear elsewhere in this Quarterly Report on Form 10-Q and our audited Consolidated Financial Statements and the related notes thereto contained in our 2025 Annual Report. In addition to historical consolidated financial information, the following discussion contains “forward-looking statements” that reflect our future plans, estimates, beliefs and expected performance. The forward-looking statements are subject to numerous risks and uncertainties, including, but not limited to, the risks and uncertainties described or referenced under “Cautionary Statement Regarding Forward-Looking Statements” and “Part II. Other Information, Item 1A. Risk Factors” in this Quarterly Report and under“Cautionary Statement Regarding Forward-Looking Statements” and “Part I, Item 1A. Risk Factors” in our 2025 Annual Report. Our actual results may differ materially from those contained in or implied by any forward-looking statements. We do not undertake any obligation to publicly update any forward-looking statements except as otherwise required by applicable law.The following management’s discussion and analysis reflects the historical results of operations and financial position of Legence Holdings LLC prior to our initial public offering (the “IPO”) and the series of organizational transactions completed in connection therewith (the “Corporate Reorganization”) and that of Legence Corp. and its consolidated subsidiaries, including Legence Holdings LLC, following the completion of the Corporate Reorganization and the IPO.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are a leading provider of engineering, installation and maintenance services for mission-critical systems in buildings. We focus on high-growth sectors that have technically demanding buildings, including technology, life sciences, healthcare and education. We specialize in designing, fabricating and installing complex HVAC, process piping and other mechanical, electrical and plumbing (“MEP”) systems for new facilities and upgrading HVAC, lighting and building controls in existing facilities to enhance building performance, improve reliability and drive efficiency. Our clients include large technology and industrial companies and public sector institutions who contract with us directly to provide services, as well as intermediaries such as architects and general contractors who subcontract MEP services to us as part of a larger project. </w:t>
      </w:r>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Highlights and Recent Developments</w:t>
      </w:r>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On November 13, 2025, the Company entered into an equity purchase agreement to acquire all of the outstanding equity of The Bowers Group, Inc (“Bowers”). The acquisition was completed on January 2, 2026. In connection with the consummation of the Bowers acquisition, Legence Holdings obtained a $200.0 million incremental term loan, and used the proceeds to fund acquisition-related payments. The incremental term loan increased the quarterly principal payments to $2.5 million.</w:t>
      </w:r>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On February 25, 2026, the Board adopted the 2026 Employee Stock Purchase Plan (“2026 ESPP”), including the reservation of 1,580,053 shares of Class A Common Stock for issuance under the 2026 ESPP. The 2026 ESPP is subject to the approval of our stockholders.</w:t>
      </w:r>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On March 1, 2026, the Company acquired Metrix Engineers, LLC.</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March 2026, we entered into interest rate swap agreements.</w:t>
      </w:r>
    </w:p>
    <w:p>
      <w:pPr>
        <w:pStyle w:val="TextBody"/>
        <w:bidi w:val="0"/>
        <w:spacing w:lineRule="auto" w:line="288" w:before="180" w:after="180"/>
        <w:jc w:val="left"/>
        <w:rPr/>
      </w:pPr>
      <w:r>
        <w:rPr>
          <w:rFonts w:ascii="Times New Roman;serif" w:hAnsi="Times New Roman;serif"/>
          <w:b w:val="false"/>
          <w:color w:val="000000"/>
          <w:sz w:val="20"/>
        </w:rPr>
        <w:t>These items are further described under “</w:t>
      </w:r>
      <w:hyperlink w:anchor="i536dfd1a65fa4690be58666b4d51052e_34">
        <w:r>
          <w:rPr>
            <w:rStyle w:val="InternetLink"/>
            <w:rFonts w:ascii="Times New Roman;serif" w:hAnsi="Times New Roman;serif"/>
            <w:b w:val="false"/>
            <w:color w:val="0000FF"/>
            <w:sz w:val="20"/>
            <w:u w:val="single"/>
          </w:rPr>
          <w:t>Note 4—Acquisitions</w:t>
        </w:r>
      </w:hyperlink>
      <w:r>
        <w:rPr>
          <w:rFonts w:ascii="Times New Roman;serif" w:hAnsi="Times New Roman;serif"/>
          <w:b w:val="false"/>
          <w:color w:val="0000FF"/>
          <w:sz w:val="20"/>
        </w:rPr>
        <w:t>,</w:t>
      </w:r>
      <w:r>
        <w:rPr>
          <w:color w:val="000000"/>
        </w:rPr>
        <w:t>” “</w:t>
      </w:r>
      <w:hyperlink w:anchor="i536dfd1a65fa4690be58666b4d51052e_52">
        <w:r>
          <w:rPr>
            <w:rStyle w:val="InternetLink"/>
            <w:rFonts w:ascii="Times New Roman;serif" w:hAnsi="Times New Roman;serif"/>
            <w:b w:val="false"/>
            <w:color w:val="000080"/>
            <w:sz w:val="20"/>
            <w:u w:val="single"/>
          </w:rPr>
          <w:t xml:space="preserve">Note </w:t>
        </w:r>
      </w:hyperlink>
      <w:hyperlink w:anchor="i536dfd1a65fa4690be58666b4d51052e_52">
        <w:r>
          <w:rPr>
            <w:rStyle w:val="InternetLink"/>
            <w:rFonts w:ascii="Times New Roman;serif" w:hAnsi="Times New Roman;serif"/>
            <w:b w:val="false"/>
            <w:color w:val="000080"/>
            <w:sz w:val="20"/>
            <w:u w:val="single"/>
          </w:rPr>
          <w:t>7</w:t>
        </w:r>
      </w:hyperlink>
      <w:hyperlink w:anchor="i536dfd1a65fa4690be58666b4d51052e_52">
        <w:r>
          <w:rPr>
            <w:rStyle w:val="InternetLink"/>
            <w:rFonts w:ascii="Times New Roman;serif" w:hAnsi="Times New Roman;serif"/>
            <w:b w:val="false"/>
            <w:color w:val="000080"/>
            <w:sz w:val="20"/>
            <w:u w:val="single"/>
          </w:rPr>
          <w:t>—Debt</w:t>
        </w:r>
      </w:hyperlink>
      <w:r>
        <w:rPr>
          <w:rFonts w:ascii="Times New Roman;serif" w:hAnsi="Times New Roman;serif"/>
          <w:b w:val="false"/>
          <w:color w:val="0000FF"/>
          <w:sz w:val="20"/>
        </w:rPr>
        <w:t>,”</w:t>
      </w:r>
      <w:r>
        <w:rPr>
          <w:color w:val="000000"/>
        </w:rPr>
        <w:t xml:space="preserve"> “</w:t>
      </w:r>
      <w:hyperlink w:anchor="i536dfd1a65fa4690be58666b4d51052e_61">
        <w:r>
          <w:rPr>
            <w:rStyle w:val="InternetLink"/>
            <w:rFonts w:ascii="Times New Roman;serif" w:hAnsi="Times New Roman;serif"/>
            <w:b w:val="false"/>
            <w:color w:val="000080"/>
            <w:sz w:val="20"/>
            <w:u w:val="single"/>
          </w:rPr>
          <w:t>Note 1</w:t>
        </w:r>
      </w:hyperlink>
      <w:hyperlink w:anchor="i536dfd1a65fa4690be58666b4d51052e_61">
        <w:r>
          <w:rPr>
            <w:rStyle w:val="InternetLink"/>
            <w:rFonts w:ascii="Times New Roman;serif" w:hAnsi="Times New Roman;serif"/>
            <w:b w:val="false"/>
            <w:color w:val="000080"/>
            <w:sz w:val="20"/>
            <w:u w:val="single"/>
          </w:rPr>
          <w:t>0</w:t>
        </w:r>
      </w:hyperlink>
      <w:hyperlink w:anchor="i536dfd1a65fa4690be58666b4d51052e_61">
        <w:r>
          <w:rPr>
            <w:rStyle w:val="InternetLink"/>
            <w:rFonts w:ascii="Times New Roman;serif" w:hAnsi="Times New Roman;serif"/>
            <w:b w:val="false"/>
            <w:color w:val="000080"/>
            <w:sz w:val="20"/>
            <w:u w:val="single"/>
          </w:rPr>
          <w:t>—Stockholders</w:t>
        </w:r>
      </w:hyperlink>
      <w:hyperlink w:anchor="i536dfd1a65fa4690be58666b4d51052e_61">
        <w:r>
          <w:rPr>
            <w:rStyle w:val="InternetLink"/>
            <w:rFonts w:ascii="Times New Roman;serif" w:hAnsi="Times New Roman;serif"/>
            <w:b w:val="false"/>
            <w:color w:val="000080"/>
            <w:sz w:val="20"/>
            <w:u w:val="single"/>
          </w:rPr>
          <w:t>’</w:t>
        </w:r>
      </w:hyperlink>
      <w:hyperlink w:anchor="i536dfd1a65fa4690be58666b4d51052e_61">
        <w:r>
          <w:rPr>
            <w:rStyle w:val="InternetLink"/>
            <w:rFonts w:ascii="Times New Roman;serif" w:hAnsi="Times New Roman;serif"/>
            <w:b w:val="false"/>
            <w:color w:val="000080"/>
            <w:sz w:val="20"/>
            <w:u w:val="single"/>
          </w:rPr>
          <w:t xml:space="preserve"> Equity</w:t>
        </w:r>
      </w:hyperlink>
      <w:r>
        <w:rPr>
          <w:color w:val="000000"/>
        </w:rPr>
        <w:t xml:space="preserve">” </w:t>
      </w:r>
      <w:r>
        <w:rPr>
          <w:rFonts w:ascii="Times New Roman;serif" w:hAnsi="Times New Roman;serif"/>
          <w:b w:val="false"/>
          <w:color w:val="000000"/>
          <w:sz w:val="20"/>
        </w:rPr>
        <w:t>and “</w:t>
      </w:r>
      <w:hyperlink w:anchor="i536dfd1a65fa4690be58666b4d51052e_58">
        <w:r>
          <w:rPr>
            <w:rStyle w:val="InternetLink"/>
            <w:rFonts w:ascii="Times New Roman;serif" w:hAnsi="Times New Roman;serif"/>
            <w:b w:val="false"/>
            <w:color w:val="000080"/>
            <w:sz w:val="20"/>
            <w:u w:val="single"/>
          </w:rPr>
          <w:t xml:space="preserve">Note </w:t>
        </w:r>
      </w:hyperlink>
      <w:hyperlink w:anchor="i536dfd1a65fa4690be58666b4d51052e_58">
        <w:r>
          <w:rPr>
            <w:rStyle w:val="InternetLink"/>
            <w:rFonts w:ascii="Times New Roman;serif" w:hAnsi="Times New Roman;serif"/>
            <w:b w:val="false"/>
            <w:color w:val="000080"/>
            <w:sz w:val="20"/>
            <w:u w:val="single"/>
          </w:rPr>
          <w:t>9</w:t>
        </w:r>
      </w:hyperlink>
      <w:hyperlink w:anchor="i536dfd1a65fa4690be58666b4d51052e_58">
        <w:r>
          <w:rPr>
            <w:rStyle w:val="InternetLink"/>
            <w:rFonts w:ascii="Times New Roman;serif" w:hAnsi="Times New Roman;serif"/>
            <w:b w:val="false"/>
            <w:color w:val="000080"/>
            <w:sz w:val="20"/>
            <w:u w:val="single"/>
          </w:rPr>
          <w:t>—Derivatives</w:t>
        </w:r>
      </w:hyperlink>
      <w:r>
        <w:rPr>
          <w:rFonts w:ascii="Times New Roman;serif" w:hAnsi="Times New Roman;serif"/>
          <w:b w:val="false"/>
          <w:color w:val="000000"/>
          <w:sz w:val="20"/>
        </w:rPr>
        <w:t>,” respectively, in Notes to Condensed Consolidated Financial Statements included in Item 1. Financial Statements”.</w:t>
      </w:r>
    </w:p>
    <w:p>
      <w:pPr>
        <w:pStyle w:val="TextBody"/>
        <w:bidi w:val="0"/>
        <w:spacing w:lineRule="auto" w:line="288" w:before="24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On April 9, 2026, the Company completed a secondary offering of 15,394,112 shares of Class A Common Stock on behalf of the ML Entities at a public offering price of $54.00 per share, including the full exercise by the underwriters of their option to purchase up to an additional 2,007,927 shares. In connection with the transaction, Legence Parent ML exchanged 9,528,699 issued and outstanding LGN B Units, together with an equal number of corresponding shares of Class B Common Stock, for an equal number of shares of Class A Common Stock. As a result of the exchange, the LGN B Units that were previously classified as noncontrolling interests were converted into LGN A Units held by Legence Corp. and its subsidiaries, thereby increasing the Company’s ownership interest in Legence Holdings. The Company did not issue or sell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80"/>
        <w:jc w:val="both"/>
        <w:rPr>
          <w:rFonts w:ascii="Times New Roman;serif" w:hAnsi="Times New Roman;serif"/>
          <w:b w:val="false"/>
          <w:color w:val="000000"/>
          <w:sz w:val="20"/>
        </w:rPr>
      </w:pPr>
      <w:r>
        <w:rPr>
          <w:rFonts w:ascii="Times New Roman;serif" w:hAnsi="Times New Roman;serif"/>
          <w:b w:val="false"/>
          <w:color w:val="000000"/>
          <w:sz w:val="20"/>
        </w:rPr>
        <w:t>any shares of Class A Common Stock and did not receive any proceeds from the sale of shares by the ML Entities in the offering.</w:t>
      </w:r>
    </w:p>
    <w:p>
      <w:pPr>
        <w:pStyle w:val="TextBody"/>
        <w:bidi w:val="0"/>
        <w:spacing w:lineRule="auto" w:line="268" w:before="240" w:after="180"/>
        <w:jc w:val="both"/>
        <w:rPr>
          <w:rFonts w:ascii="Times New Roman;serif" w:hAnsi="Times New Roman;serif"/>
          <w:b/>
          <w:i/>
          <w:color w:val="000000"/>
          <w:sz w:val="20"/>
        </w:rPr>
      </w:pPr>
      <w:r>
        <w:rPr>
          <w:rFonts w:ascii="Times New Roman;serif" w:hAnsi="Times New Roman;serif"/>
          <w:b/>
          <w:i/>
          <w:color w:val="000000"/>
          <w:sz w:val="20"/>
        </w:rPr>
        <w:t>Disaggregation of Revenue</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contribution to our revenue by building type and client end market is as follows (dollars in thousands): </w:t>
      </w:r>
    </w:p>
    <w:tbl>
      <w:tblPr>
        <w:tblW w:w="8572" w:type="dxa"/>
        <w:jc w:val="left"/>
        <w:tblInd w:w="0" w:type="dxa"/>
        <w:tblLayout w:type="fixed"/>
        <w:tblCellMar>
          <w:top w:w="28" w:type="dxa"/>
          <w:left w:w="28" w:type="dxa"/>
          <w:bottom w:w="28" w:type="dxa"/>
          <w:right w:w="28" w:type="dxa"/>
        </w:tblCellMar>
      </w:tblPr>
      <w:tblGrid>
        <w:gridCol w:w="1043"/>
        <w:gridCol w:w="915"/>
        <w:gridCol w:w="922"/>
        <w:gridCol w:w="211"/>
        <w:gridCol w:w="976"/>
        <w:gridCol w:w="109"/>
        <w:gridCol w:w="109"/>
        <w:gridCol w:w="109"/>
        <w:gridCol w:w="109"/>
        <w:gridCol w:w="307"/>
        <w:gridCol w:w="309"/>
        <w:gridCol w:w="271"/>
        <w:gridCol w:w="109"/>
        <w:gridCol w:w="109"/>
        <w:gridCol w:w="109"/>
        <w:gridCol w:w="211"/>
        <w:gridCol w:w="826"/>
        <w:gridCol w:w="109"/>
        <w:gridCol w:w="109"/>
        <w:gridCol w:w="109"/>
        <w:gridCol w:w="109"/>
        <w:gridCol w:w="307"/>
        <w:gridCol w:w="309"/>
        <w:gridCol w:w="766"/>
      </w:tblGrid>
      <w:tr>
        <w:trPr/>
        <w:tc>
          <w:tcPr>
            <w:tcW w:w="104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 by Building Type</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Existing building</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409,611 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62.6 </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New building</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628,282 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60.5 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firstLine="45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1,037,893 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505,953 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Revenue by Client End Market</w:t>
            </w:r>
            <w:r>
              <w:rPr>
                <w:rFonts w:ascii="Times New Roman;serif" w:hAnsi="Times New Roman;serif"/>
                <w:b w:val="false"/>
                <w:color w:val="000000"/>
                <w:sz w:val="13"/>
              </w:rPr>
              <w:t>(1)</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Data centers &amp; technology</w:t>
            </w:r>
            <w:r>
              <w:rPr>
                <w:rFonts w:ascii="Times New Roman;serif" w:hAnsi="Times New Roman;serif"/>
                <w:b w:val="false"/>
                <w:color w:val="000000"/>
                <w:sz w:val="13"/>
              </w:rPr>
              <w:t>(2)</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643,248 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62.0 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Life sciences &amp; healthcare</w:t>
            </w:r>
            <w:r>
              <w:rPr>
                <w:rFonts w:ascii="Times New Roman;serif" w:hAnsi="Times New Roman;serif"/>
                <w:b w:val="false"/>
                <w:color w:val="000000"/>
                <w:sz w:val="13"/>
              </w:rPr>
              <w:t>(3)</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Education</w:t>
            </w:r>
            <w:r>
              <w:rPr>
                <w:rFonts w:ascii="Times New Roman;serif" w:hAnsi="Times New Roman;serif"/>
                <w:b w:val="false"/>
                <w:color w:val="000000"/>
                <w:sz w:val="13"/>
              </w:rPr>
              <w:t>(4)</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Mixed-use</w:t>
            </w:r>
            <w:r>
              <w:rPr>
                <w:rFonts w:ascii="Times New Roman;serif" w:hAnsi="Times New Roman;serif"/>
                <w:b w:val="false"/>
                <w:color w:val="000000"/>
                <w:sz w:val="13"/>
              </w:rPr>
              <w:t>(5)</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State &amp; local government</w:t>
            </w:r>
            <w:r>
              <w:rPr>
                <w:rFonts w:ascii="Times New Roman;serif" w:hAnsi="Times New Roman;serif"/>
                <w:b w:val="false"/>
                <w:color w:val="000000"/>
                <w:sz w:val="13"/>
              </w:rPr>
              <w:t>(6)</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(7)</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firstLine="45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1,037,893 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505,953 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(1)The information provided in the table under “Revenue by Client End Market” represents the revenue generated from clients in each of the end markets indicated in that period; provided, that where the client is a lessor, we use the lessee’s end market. </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(2)Includes facilities housing servers, networking equipment, systems critical for storing and managing data, operational facilities for internet service providers, software companies, IT development hubs, AI development facilities, and high-precision manufacturing plants producing semiconductor chips and electronics. </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(3)Includes facilities supporting life sciences research and development, pharmaceutical manufacturing and healthcare facilities providing inpatient and outpatient health services. </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(4)Includes kindergarten through twelfth-grade educational facilities, as well as colleges, universities and research facilities. </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(5)Includes buildings or complexes combining commercial and retail. </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(6)Includes facilities owned or operated by state and municipal government agencies to the extent not otherwise included in the education client end market. </w:t>
      </w:r>
    </w:p>
    <w:p>
      <w:pPr>
        <w:pStyle w:val="TextBody"/>
        <w:bidi w:val="0"/>
        <w:spacing w:lineRule="auto" w:line="288" w:before="0" w:after="0"/>
        <w:ind w:left="0" w:right="0" w:hanging="450"/>
        <w:jc w:val="both"/>
        <w:rPr/>
      </w:pPr>
      <w:r>
        <w:rPr>
          <w:rFonts w:ascii="Times New Roman;serif" w:hAnsi="Times New Roman;serif"/>
          <w:b w:val="false"/>
          <w:color w:val="000000"/>
          <w:sz w:val="20"/>
        </w:rPr>
        <w:t xml:space="preserve">(7)Includes a variety of other industries such as manufacturing, aerospace &amp; defense, energy, agriculture, </w:t>
      </w:r>
      <w:r>
        <w:rPr>
          <w:rFonts w:ascii="Times New Roman;serif" w:hAnsi="Times New Roman;serif"/>
          <w:b w:val="false"/>
          <w:color w:val="000000"/>
          <w:sz w:val="20"/>
          <w:shd w:fill="FFFFFF" w:val="clear"/>
        </w:rPr>
        <w:t>multi-family, hospitality &amp; entertainment, among others, as well as the federal government.</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operate through two segments: Engineering &amp; Consulting and Installation &amp; Maintenance.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Engineering &amp; Consulting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Engineering &amp; Consulting segment designs HVAC and other MEP systems for buildings, develops strategies to help reduce energy usage and enhance building performance, improve reliability and drive efficiency and provides program and project management services for clients’ installation and retrofit projects. Our Engineering &amp; Consulting segment has two principal service offerings: </w:t>
      </w:r>
    </w:p>
    <w:p>
      <w:pPr>
        <w:pStyle w:val="TextBody"/>
        <w:bidi w:val="0"/>
        <w:spacing w:lineRule="auto" w:line="268" w:before="0" w:after="0"/>
        <w:ind w:left="0" w:right="0" w:hanging="360"/>
        <w:jc w:val="left"/>
        <w:rPr/>
      </w:pPr>
      <w:r>
        <w:rPr>
          <w:color w:val="000000"/>
        </w:rPr>
        <w:t>•</w:t>
      </w:r>
      <w:r>
        <w:rPr>
          <w:rFonts w:ascii="Times New Roman;serif" w:hAnsi="Times New Roman;serif"/>
          <w:b w:val="false"/>
          <w:i/>
          <w:color w:val="000000"/>
          <w:sz w:val="20"/>
        </w:rPr>
        <w:t>Engineering &amp; Design</w:t>
      </w:r>
      <w:r>
        <w:rPr>
          <w:rFonts w:ascii="Times New Roman;serif" w:hAnsi="Times New Roman;serif"/>
          <w:b w:val="false"/>
          <w:color w:val="000000"/>
          <w:sz w:val="20"/>
        </w:rPr>
        <w:t xml:space="preserve">. We provide planning, design and engineering services for HVAC, process piping and other MEP systems in both new and existing buildings. We also develop strategies for building owners and operators to help reduce their utility consumption and enhance building performance, improve reliability, and drive efficiency.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4605" cy="14605"/>
                <wp:effectExtent l="0" t="0" r="0" b="0"/>
                <wp:wrapNone/>
                <wp:docPr id="36" name="Frame36"/>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Program &amp; Project Management.</w:t>
      </w:r>
      <w:r>
        <w:rPr>
          <w:color w:val="000000"/>
        </w:rPr>
        <w:t xml:space="preserve"> </w:t>
      </w:r>
      <w:r>
        <w:rPr>
          <w:rFonts w:ascii="Times New Roman;serif" w:hAnsi="Times New Roman;serif"/>
          <w:b w:val="false"/>
          <w:color w:val="000000"/>
          <w:sz w:val="20"/>
        </w:rPr>
        <w:t xml:space="preserve">We provide comprehensive program and project management services, including facility condition and operational assessments, space utilization and capacity analyses, funding source identification and construction management. For certain clients, we provide design-build services through energy savings performance contracts (“ESPC”) for building retrofits. Under ESPC contracts, financing sources provide the funds required to pay us for the upgrades and receive a portion of the client’s energy savings to recoup their investment and generate a return. </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 xml:space="preserve">Installation &amp; Maintenance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Installation &amp; Maintenance segment fabricates and installs HVAC systems, process piping and other MEP systems in new and existing industrial, commercial and institutional buildings and provides ongoing preventive and corrective maintenance services for those systems. Our Installation &amp; Maintenance segment has two principal service offerings: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Installation &amp; Fabrication.</w:t>
      </w:r>
      <w:r>
        <w:rPr>
          <w:color w:val="000000"/>
        </w:rPr>
        <w:t xml:space="preserve"> </w:t>
      </w:r>
      <w:r>
        <w:rPr>
          <w:rFonts w:ascii="Times New Roman;serif" w:hAnsi="Times New Roman;serif"/>
          <w:b w:val="false"/>
          <w:color w:val="000000"/>
          <w:sz w:val="20"/>
        </w:rPr>
        <w:t>We provide HVAC, electrical, plumbing, process and control system installations, refurbishments and renovations in technically demanding new and existing buildings. We perform both “design-build” and “plan and specification” (“P&amp;S”) projects. Under design-build projects, we provide the design for the project and install it. Under P&amp;S projects, our client is responsible for designing the project and we install it to their specifications. For certain jobs, we also fabricate customized components that are not readily available for purchase from other third-party vendors or provide modular construction services based on a client’s specifications.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Maintenance &amp; Service.</w:t>
      </w:r>
      <w:r>
        <w:rPr>
          <w:color w:val="000000"/>
        </w:rPr>
        <w:t xml:space="preserve"> </w:t>
      </w:r>
      <w:r>
        <w:rPr>
          <w:rFonts w:ascii="Times New Roman;serif" w:hAnsi="Times New Roman;serif"/>
          <w:b w:val="false"/>
          <w:color w:val="000000"/>
          <w:sz w:val="20"/>
        </w:rPr>
        <w:t xml:space="preserve">We provide preventive maintenance, emergency repair and break-fix services over the life of a building’s mechanical systems. Our services include regular inspections and maintenance to prevent downtime; responding to calls and sending technicians onsite to repair a system failure or malfunction; and other complementary services such as facility energy analysis, automation and optimization, system certification and testing. We typically provide preventive maintenance services under annual or longer-term agreements that range from one to five years. The majority of these services are provided using a cost-plus contract type. </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Key Factors Affecting Our Performance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We believe that our financial performance, results of operations and future success depend on a number of factors that present significant opportunities for us but also pose risks and challenges, including those described below and in the information contained or referenced under “Part II. Other Information, Item 1A. Risk Factors” below.</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Commercial Construction Activity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Demand for our services depends in part on commercial construction activity, which is subject to business and economic cycles. We typically see greater demand for our services when the economy is growing and interest rates are stable or falling because these conditions encourage businesses to invest in their facilities. We typically see less demand for our services when the economy is contracting and interest rates are rising. To mitigate the impact of downturns in the economy on our business, we have focused on sectors with strong secular growth that we believe are less sensitive to macroeconomic conditions, including technology, life sciences and education, and on services that help clients reduce their energy costs because we believe cost reduction is attractive to clients in all economic environments.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Investment in Technology and Related Infrastructure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derive a significant portion of our revenues from technology companies, and demand for our services depends, in part, on technology companies making continued investments in their facilities. Investment in technology is subject to a number of factors, including the frequency and nature of innovations, whether or not developing or implementing those innovations requires new physical infrastructure and the availability of capital to fund investments in that infrastructure.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Service Mix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margin we earn can vary significantly based on the type of service we perform, the size of the job as well as other factors. We typically earn higher margins on engineering and design, program and project management, consulting and maintenance services than we earn on installation and fabrication services and higher margins on smaller jobs than we earn on larger jobs. Our overall margins can vary between quarters based on service mix in the period.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4605" cy="14605"/>
                <wp:effectExtent l="0" t="0" r="0" b="0"/>
                <wp:wrapNone/>
                <wp:docPr id="37" name="Frame37"/>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Labor Costs and Productivity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largest expense is the wages and salaries of our employees. Our margins depend on our ability to accurately estimate the amount of labor that each job will require because our customer contracts are typically fixed-price. We have a long track record of accurately estimating our job costs.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Subcontractor and Equipment Expenses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subcontract certain scopes of work to third parties, particularly in our Program &amp; Project Management service line within our Engineering &amp; Consulting segment. We record the amounts we pay to subcontractors as subcontractor expense in our cost of revenue.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also purchase certain types of equipment that we install in our clients’ facilities, including chillers, heat pumps, packaged HVAC systems, pumps, valves and switchgear, primarily in our Installation &amp; Fabrication service line within our Installation &amp; Maintenance segment. We record the amounts we pay for equipment in our cost of revenue.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may pass both subcontractor and equipment costs on directly to our customers as a specific line item or incorporate them into our overall price for the job. Variability in the amount of subcontracting that we do, subcontractor pricing, equipment purchases, including equipment that is fabricated in-house, and associated markups can impact our margins. Generally, these markups may not be as large as the markup on our labor and, therefore, the volume of subcontractor and equipment costs can also impact our margins.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our subcontractor and equipment expenses (dollars in thousands): </w:t>
      </w:r>
    </w:p>
    <w:tbl>
      <w:tblPr>
        <w:tblW w:w="4876" w:type="dxa"/>
        <w:jc w:val="left"/>
        <w:tblInd w:w="0" w:type="dxa"/>
        <w:tblLayout w:type="fixed"/>
        <w:tblCellMar>
          <w:top w:w="28" w:type="dxa"/>
          <w:left w:w="28" w:type="dxa"/>
          <w:bottom w:w="28" w:type="dxa"/>
          <w:right w:w="28" w:type="dxa"/>
        </w:tblCellMar>
      </w:tblPr>
      <w:tblGrid>
        <w:gridCol w:w="723"/>
        <w:gridCol w:w="634"/>
        <w:gridCol w:w="637"/>
        <w:gridCol w:w="211"/>
        <w:gridCol w:w="826"/>
        <w:gridCol w:w="109"/>
        <w:gridCol w:w="109"/>
        <w:gridCol w:w="109"/>
        <w:gridCol w:w="109"/>
        <w:gridCol w:w="211"/>
        <w:gridCol w:w="826"/>
        <w:gridCol w:w="109"/>
        <w:gridCol w:w="109"/>
        <w:gridCol w:w="154"/>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Subcontractor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156,109 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71,583 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 Expense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Acquisitions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have a pipeline of acquisition opportunities and intend to continue to pursue acquisitions as part of our strategy to increase our scale, expand existing or acquire new capabilities, access new clients, or broaden our geographic reach. While we target acquisitions that will enhance our growth and profitability, they may add redundant operating expenses in the short-term. Our ability to successfully execute strategic acquisitions depends upon a number of factors, including sustained execution of a disciplined acquisition strategy and our ability to effectively integrate acquired companies or assets into our business.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Effects of Seasonality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revenues are subject to seasonal fluctuations, particularly in regions with colder winter climates and areas prone to extreme weather events, such as wildfires, storms, flooding, and hurricanes. We generally see greater levels of activity in the spring and summer months than we do in the winter months due to reduced construction activity during inclement weather and less use of air conditioning during colder months. Activity in our business also fluctuates with the academic calendar, as most schools and colleges prefer to have work performed on their facilities when classes are not in session, which drives increased revenue from education clients during the second and third quarters of the year. Additionally, activity levels in our business can be affected by state and local government spending cycles and fiscal calendars, which can be impacted by a wide variety of factors. Consequently, we may occasionally experience consecutive quarterly declines in revenues or earnings that are not indicative of the future performance of our business.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Supply Chain Disruptions and Other Global Factors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continue to monitor the impact of global economic conditions on our operations, financial results and liquidity, such as the impact of tariffs, supply chain challenges and geopolitical tensions. Import duties, tariffs and other import restrictions restrict the global supply of, and raise prices for, supplies needed for our business. In addition, the imposition of tariffs on certain foreign goods and the occurrence of a trade war or other governmental action related to tariffs or trade agreements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or policies may adversely impact demand for our services, our costs, our customers and the U.S. economy. The impact on our future operations and results of operations as a result of these global trends remains uncertain and we may face challenges including increases in costs for logistics and supply chains, intermittent supplier delays and shortages of certain components needed for our business, such as HVAC equipment, electrical equipment, steel and aluminum. These tariffs, restrictions and strained trade relations may affect our ability to source materials and products, potentially leading to increased costs and operational challenges and decreased demand for our offerings. We are closely monitoring the regulatory environment and actions of the current U.S. administration that could impact our business.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From time to time, as a result of macroeconomic conditions, we have been impacted by inflation, including escalating transportation, commodity and other supply chain costs and disruptions. We continue to monitor macroeconomic conditions to remain flexible and to optimize and enable our business to evolve as appropriate to address the challenges presented from these conditions. If our costs are subject to significant inflationary pressures, we may not be able to offset such higher costs through price increases, which could adversely affect our business, results of operations or financial condition.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For the Three Months Ended March 31, 2026 Compared to Three Months Ended March 31, 2025</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 summary of our consolidated results of operations, selected data as a percentage of revenues for the periods indicated, as well as the dollar and percentage change from the prior year period is presented as follows (dollars in thousands): </w:t>
      </w:r>
    </w:p>
    <w:tbl>
      <w:tblPr>
        <w:tblW w:w="10199" w:type="dxa"/>
        <w:jc w:val="left"/>
        <w:tblInd w:w="0" w:type="dxa"/>
        <w:tblLayout w:type="fixed"/>
        <w:tblCellMar>
          <w:top w:w="28" w:type="dxa"/>
          <w:left w:w="28" w:type="dxa"/>
          <w:bottom w:w="28" w:type="dxa"/>
          <w:right w:w="28" w:type="dxa"/>
        </w:tblCellMar>
      </w:tblPr>
      <w:tblGrid>
        <w:gridCol w:w="1535"/>
        <w:gridCol w:w="1352"/>
        <w:gridCol w:w="1357"/>
        <w:gridCol w:w="211"/>
        <w:gridCol w:w="976"/>
        <w:gridCol w:w="109"/>
        <w:gridCol w:w="109"/>
        <w:gridCol w:w="109"/>
        <w:gridCol w:w="109"/>
        <w:gridCol w:w="211"/>
        <w:gridCol w:w="826"/>
        <w:gridCol w:w="109"/>
        <w:gridCol w:w="109"/>
        <w:gridCol w:w="109"/>
        <w:gridCol w:w="109"/>
        <w:gridCol w:w="211"/>
        <w:gridCol w:w="826"/>
        <w:gridCol w:w="109"/>
        <w:gridCol w:w="109"/>
        <w:gridCol w:w="109"/>
        <w:gridCol w:w="109"/>
        <w:gridCol w:w="308"/>
        <w:gridCol w:w="308"/>
        <w:gridCol w:w="770"/>
      </w:tblGrid>
      <w:tr>
        <w:trPr/>
        <w:tc>
          <w:tcPr>
            <w:tcW w:w="1535"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ind w:left="0" w:right="0" w:firstLine="454"/>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9" w:type="dxa"/>
            <w:gridSpan w:val="9"/>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over Year</w:t>
              <w:br/>
              <w:t>Change</w:t>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9"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1,037,893 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505,953 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531,940 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105.1 </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851,739 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394,249 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457,490 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116.0 </w:t>
            </w:r>
          </w:p>
        </w:tc>
        <w:tc>
          <w:tcPr>
            <w:tcW w:w="7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186,154 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111,704 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74,450 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66.6 </w:t>
            </w:r>
          </w:p>
        </w:tc>
        <w:tc>
          <w:tcPr>
            <w:tcW w:w="7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116,095 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69,459 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46,636 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67.1 </w:t>
            </w:r>
          </w:p>
        </w:tc>
        <w:tc>
          <w:tcPr>
            <w:tcW w:w="7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41.1 </w:t>
            </w:r>
          </w:p>
        </w:tc>
        <w:tc>
          <w:tcPr>
            <w:tcW w:w="7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costs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property and equipment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(34.7)</w:t>
            </w:r>
          </w:p>
        </w:tc>
        <w:tc>
          <w:tcPr>
            <w:tcW w:w="7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earnings of joint venture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7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Income from operations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7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w:t>
            </w:r>
          </w:p>
        </w:tc>
        <w:tc>
          <w:tcPr>
            <w:tcW w:w="7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74.8 </w:t>
            </w:r>
          </w:p>
        </w:tc>
        <w:tc>
          <w:tcPr>
            <w:tcW w:w="7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Credit agreement amendment fees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7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426.9 </w:t>
            </w:r>
          </w:p>
        </w:tc>
        <w:tc>
          <w:tcPr>
            <w:tcW w:w="770"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firstLine="454"/>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other expense, net</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(42.0)</w:t>
            </w:r>
          </w:p>
        </w:tc>
        <w:tc>
          <w:tcPr>
            <w:tcW w:w="7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454"/>
              <w:jc w:val="left"/>
              <w:rPr>
                <w:rFonts w:ascii="Times New Roman;serif" w:hAnsi="Times New Roman;serif"/>
                <w:b/>
                <w:color w:val="000000"/>
                <w:sz w:val="20"/>
              </w:rPr>
            </w:pPr>
            <w:r>
              <w:rPr>
                <w:rFonts w:ascii="Times New Roman;serif" w:hAnsi="Times New Roman;serif"/>
                <w:b/>
                <w:color w:val="000000"/>
                <w:sz w:val="20"/>
              </w:rPr>
              <w:t>Income (loss) before income tax</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(37.3)</w:t>
            </w:r>
          </w:p>
        </w:tc>
        <w:tc>
          <w:tcPr>
            <w:tcW w:w="7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 (loss) attributable to Legence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(21,213)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37,307 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 xml:space="preserve">*Not meaningful.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rPr>
        <w:t>Revenue</w:t>
      </w:r>
      <w:r>
        <w:rPr>
          <w:color w:val="000000"/>
        </w:rPr>
        <w:t xml:space="preserve">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Consolidated revenue increased $531.9 million, or 105.1%, during the three months ended March 31, 2026 compared to the three months ended March 31, 2025. The increase is attributable to the results of our operating segments, which are discussed below.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our revenue by reportable segment, as well as our primary service lines (dollars in thousands): </w:t>
      </w:r>
    </w:p>
    <w:tbl>
      <w:tblPr>
        <w:tblW w:w="10205" w:type="dxa"/>
        <w:jc w:val="left"/>
        <w:tblInd w:w="0" w:type="dxa"/>
        <w:tblLayout w:type="fixed"/>
        <w:tblCellMar>
          <w:top w:w="28" w:type="dxa"/>
          <w:left w:w="28" w:type="dxa"/>
          <w:bottom w:w="28" w:type="dxa"/>
          <w:right w:w="28" w:type="dxa"/>
        </w:tblCellMar>
      </w:tblPr>
      <w:tblGrid>
        <w:gridCol w:w="728"/>
        <w:gridCol w:w="508"/>
        <w:gridCol w:w="510"/>
        <w:gridCol w:w="211"/>
        <w:gridCol w:w="976"/>
        <w:gridCol w:w="109"/>
        <w:gridCol w:w="109"/>
        <w:gridCol w:w="109"/>
        <w:gridCol w:w="109"/>
        <w:gridCol w:w="307"/>
        <w:gridCol w:w="309"/>
        <w:gridCol w:w="310"/>
        <w:gridCol w:w="109"/>
        <w:gridCol w:w="109"/>
        <w:gridCol w:w="109"/>
        <w:gridCol w:w="211"/>
        <w:gridCol w:w="826"/>
        <w:gridCol w:w="109"/>
        <w:gridCol w:w="109"/>
        <w:gridCol w:w="109"/>
        <w:gridCol w:w="109"/>
        <w:gridCol w:w="307"/>
        <w:gridCol w:w="309"/>
        <w:gridCol w:w="310"/>
        <w:gridCol w:w="109"/>
        <w:gridCol w:w="109"/>
        <w:gridCol w:w="109"/>
        <w:gridCol w:w="211"/>
        <w:gridCol w:w="826"/>
        <w:gridCol w:w="109"/>
        <w:gridCol w:w="109"/>
        <w:gridCol w:w="109"/>
        <w:gridCol w:w="109"/>
        <w:gridCol w:w="306"/>
        <w:gridCol w:w="310"/>
        <w:gridCol w:w="768"/>
      </w:tblGrid>
      <w:tr>
        <w:trPr/>
        <w:tc>
          <w:tcPr>
            <w:tcW w:w="72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r>
      <w:tr>
        <w:trPr/>
        <w:tc>
          <w:tcPr>
            <w:tcW w:w="1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7" w:type="dxa"/>
            <w:gridSpan w:val="9"/>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over Year</w:t>
              <w:br/>
              <w:t>Change</w:t>
            </w:r>
          </w:p>
        </w:tc>
      </w:tr>
      <w:tr>
        <w:trPr/>
        <w:tc>
          <w:tcPr>
            <w:tcW w:w="1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7"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1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7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Engineering &amp; Consulting</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r>
      <w:tr>
        <w:trPr/>
        <w:tc>
          <w:tcPr>
            <w:tcW w:w="17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Engineering &amp; Design</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31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31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768"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firstLine="45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Program &amp; Project Management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31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31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75.4 </w:t>
            </w:r>
          </w:p>
        </w:tc>
        <w:tc>
          <w:tcPr>
            <w:tcW w:w="7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Engineering &amp; Consulting segment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165,801 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145,447 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76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Installation &amp; Maintenance</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r>
      <w:tr>
        <w:trPr/>
        <w:tc>
          <w:tcPr>
            <w:tcW w:w="17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Installation &amp; Fabrication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758,592 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73.1 </w:t>
            </w:r>
          </w:p>
        </w:tc>
        <w:tc>
          <w:tcPr>
            <w:tcW w:w="31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57.3 </w:t>
            </w:r>
          </w:p>
        </w:tc>
        <w:tc>
          <w:tcPr>
            <w:tcW w:w="31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468,910 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161.9 </w:t>
            </w:r>
          </w:p>
        </w:tc>
        <w:tc>
          <w:tcPr>
            <w:tcW w:w="768"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firstLine="45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Maintenance &amp; Service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31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31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60.3 </w:t>
            </w:r>
          </w:p>
        </w:tc>
        <w:tc>
          <w:tcPr>
            <w:tcW w:w="7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Installation &amp; Maintenance segment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872,092 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84.0 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360,506 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71.3 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511,586 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141.9 </w:t>
            </w:r>
          </w:p>
        </w:tc>
        <w:tc>
          <w:tcPr>
            <w:tcW w:w="76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1,037,893 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505,953 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531,940 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105.1 </w:t>
            </w:r>
          </w:p>
        </w:tc>
        <w:tc>
          <w:tcPr>
            <w:tcW w:w="7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180"/>
        <w:jc w:val="both"/>
        <w:rPr/>
      </w:pPr>
      <w:r>
        <w:rPr>
          <w:rFonts w:ascii="Times New Roman;serif" w:hAnsi="Times New Roman;serif"/>
          <w:b/>
          <w:color w:val="000000"/>
          <w:sz w:val="20"/>
        </w:rPr>
        <w:t>Engineering &amp; Consulting</w:t>
      </w:r>
      <w:r>
        <w:rPr>
          <w:rFonts w:ascii="Times New Roman;serif" w:hAnsi="Times New Roman;serif"/>
          <w:b w:val="false"/>
          <w:color w:val="000000"/>
          <w:sz w:val="20"/>
        </w:rPr>
        <w:t>: Engineering &amp; Consulting segment revenue increased $20.4 million, or 14.0%, for the three months ended March 31, 2026 compared to the three months ended March 31, 2025.</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Engineering &amp; Design service line revenue decreased $(9.0) million, or (8.4)%, during the three months ended March 31, 2026 compared to the three months ended March 31, 2025. The decrease is attributable to lower demand, primarily from education and mixed-use clients.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Program &amp; Project Management service line revenue increased $29.3 million, or 75.4%, during the three months ended March 31, 2026 compared to the three months ended March 31, 2025. The increase is attributable to higher demand, primarily from education clients, hospitality &amp; entertainment clients within Other, and data centers &amp; technology clients.</w:t>
      </w:r>
    </w:p>
    <w:p>
      <w:pPr>
        <w:pStyle w:val="TextBody"/>
        <w:bidi w:val="0"/>
        <w:spacing w:lineRule="auto" w:line="288" w:before="180" w:after="180"/>
        <w:jc w:val="both"/>
        <w:rPr/>
      </w:pPr>
      <w:r>
        <w:rPr>
          <w:rFonts w:ascii="Times New Roman;serif" w:hAnsi="Times New Roman;serif"/>
          <w:b/>
          <w:color w:val="000000"/>
          <w:sz w:val="20"/>
        </w:rPr>
        <w:t>Installation &amp; Maintenance</w:t>
      </w:r>
      <w:r>
        <w:rPr>
          <w:rFonts w:ascii="Times New Roman;serif" w:hAnsi="Times New Roman;serif"/>
          <w:b w:val="false"/>
          <w:color w:val="000000"/>
          <w:sz w:val="20"/>
        </w:rPr>
        <w:t>: Installation &amp; Maintenance segment revenue increased $511.6 million, or 141.9%, for the three months ended March 31, 2026 compared to the three months ended March 31, 2025.</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Installation &amp; Fabrication service line accounted for $468.9 million, or 91.7%, of the increase in Installation &amp; Maintenance segment revenue. Organic revenue growth, driven mainly by data centers &amp; technology clients, accounted for slightly over half of the increase in Installation &amp; Fabrication service line revenue. The majority of the remaining increase in the Installation &amp; Fabrication service line revenue resulted from the acquisition of Bowers.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Maintenance &amp; Service service line accounted for $42.7 million, or 8.3% of the increase in the Installation &amp; Maintenance segment revenue. Approximately two-thirds of the increase in Maintenance &amp; Service service line revenue resulted from the acquisition of Bowers. Organic revenue growth accounted for the majority of the remaining increase in Maintenance &amp; Service service line revenue, primarily from data centers &amp; technology, education, life sciences &amp; healthcare and state &amp; local government clients.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Gross Profit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Consolidated gross profit increased $74.5 million, or 66.6%, during the three months ended March 31, 2026 compared to the three months ended March 31, 2025. The increase is attributable to the results of our Installation &amp; Maintenance segment, as discussed below.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our consolidated gross profit by reportable segment (dollars in thousands): </w:t>
      </w:r>
    </w:p>
    <w:tbl>
      <w:tblPr>
        <w:tblW w:w="10829" w:type="dxa"/>
        <w:jc w:val="left"/>
        <w:tblInd w:w="0" w:type="dxa"/>
        <w:tblLayout w:type="fixed"/>
        <w:tblCellMar>
          <w:top w:w="28" w:type="dxa"/>
          <w:left w:w="28" w:type="dxa"/>
          <w:bottom w:w="28" w:type="dxa"/>
          <w:right w:w="28" w:type="dxa"/>
        </w:tblCellMar>
      </w:tblPr>
      <w:tblGrid>
        <w:gridCol w:w="595"/>
        <w:gridCol w:w="391"/>
        <w:gridCol w:w="395"/>
        <w:gridCol w:w="211"/>
        <w:gridCol w:w="826"/>
        <w:gridCol w:w="109"/>
        <w:gridCol w:w="109"/>
        <w:gridCol w:w="109"/>
        <w:gridCol w:w="109"/>
        <w:gridCol w:w="255"/>
        <w:gridCol w:w="256"/>
        <w:gridCol w:w="476"/>
        <w:gridCol w:w="109"/>
        <w:gridCol w:w="109"/>
        <w:gridCol w:w="109"/>
        <w:gridCol w:w="211"/>
        <w:gridCol w:w="826"/>
        <w:gridCol w:w="109"/>
        <w:gridCol w:w="109"/>
        <w:gridCol w:w="109"/>
        <w:gridCol w:w="109"/>
        <w:gridCol w:w="255"/>
        <w:gridCol w:w="256"/>
        <w:gridCol w:w="476"/>
        <w:gridCol w:w="109"/>
        <w:gridCol w:w="109"/>
        <w:gridCol w:w="109"/>
        <w:gridCol w:w="211"/>
        <w:gridCol w:w="721"/>
        <w:gridCol w:w="109"/>
        <w:gridCol w:w="109"/>
        <w:gridCol w:w="109"/>
        <w:gridCol w:w="109"/>
        <w:gridCol w:w="308"/>
        <w:gridCol w:w="308"/>
        <w:gridCol w:w="271"/>
        <w:gridCol w:w="109"/>
        <w:gridCol w:w="109"/>
        <w:gridCol w:w="109"/>
        <w:gridCol w:w="263"/>
        <w:gridCol w:w="263"/>
        <w:gridCol w:w="766"/>
      </w:tblGrid>
      <w:tr>
        <w:trPr/>
        <w:tc>
          <w:tcPr>
            <w:tcW w:w="59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4" w:type="dxa"/>
            <w:gridSpan w:val="15"/>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over Year Change</w:t>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4" w:type="dxa"/>
            <w:gridSpan w:val="15"/>
            <w:vMerge w:val="continue"/>
            <w:tcBorders/>
            <w:tcMar>
              <w:top w:w="0" w:type="dxa"/>
              <w:left w:w="0" w:type="dxa"/>
              <w:bottom w:w="0" w:type="dxa"/>
              <w:right w:w="0" w:type="dxa"/>
            </w:tcMar>
            <w:vAlign w:val="center"/>
          </w:tcPr>
          <w:p>
            <w:pPr>
              <w:pStyle w:val="Normal"/>
              <w:bidi w:val="0"/>
              <w:jc w:val="left"/>
              <w:rPr/>
            </w:pPr>
            <w:r>
              <w:rPr/>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Margin</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Engineering &amp; Consulting segment</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4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4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firstLine="45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Installation &amp; Maintenance segment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4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4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160.8 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186,154 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4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111,704 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4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74,450 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66.6 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180"/>
        <w:jc w:val="both"/>
        <w:rPr/>
      </w:pPr>
      <w:r>
        <w:rPr>
          <w:rFonts w:ascii="Times New Roman;serif" w:hAnsi="Times New Roman;serif"/>
          <w:b/>
          <w:color w:val="000000"/>
          <w:sz w:val="20"/>
        </w:rPr>
        <w:t>Engineering &amp; Consulting</w:t>
      </w:r>
      <w:r>
        <w:rPr>
          <w:rFonts w:ascii="Times New Roman;serif" w:hAnsi="Times New Roman;serif"/>
          <w:b w:val="false"/>
          <w:color w:val="000000"/>
          <w:sz w:val="20"/>
        </w:rPr>
        <w:t>: The $(9.2) million, or (15.5)%, decrease in gross profit for the three months ended March 31, 2026 compared to the three months ended March 31, 2025 was driven by a lower project margin and the impact of higher compensation expense related to legacy Series A Interests paid for by entities outside of Legence, partially offset by higher revenue. The lower project margin primarily reflects a higher percentage of subcontractor expenses, a revenue mix shift toward our lower margin Program &amp; Project Management service line and lower project margins in our Engineering &amp; Design service line.</w:t>
      </w:r>
    </w:p>
    <w:p>
      <w:pPr>
        <w:pStyle w:val="TextBody"/>
        <w:bidi w:val="0"/>
        <w:spacing w:lineRule="auto" w:line="288" w:before="180" w:after="180"/>
        <w:jc w:val="both"/>
        <w:rPr/>
      </w:pPr>
      <w:r>
        <w:rPr>
          <w:rFonts w:ascii="Times New Roman;serif" w:hAnsi="Times New Roman;serif"/>
          <w:b/>
          <w:color w:val="000000"/>
          <w:sz w:val="20"/>
        </w:rPr>
        <w:t>Installation &amp; Maintenance:</w:t>
      </w:r>
      <w:r>
        <w:rPr>
          <w:color w:val="000000"/>
        </w:rPr>
        <w:t xml:space="preserve"> </w:t>
      </w:r>
      <w:r>
        <w:rPr>
          <w:rFonts w:ascii="Times New Roman;serif" w:hAnsi="Times New Roman;serif"/>
          <w:b w:val="false"/>
          <w:color w:val="000000"/>
          <w:sz w:val="20"/>
        </w:rPr>
        <w:t>The $83.7 million, or 160.8%, increase in gross profit for the three months ended March 31, 2026 compared to the three months ended March 31, 2025 was primarily due to organic revenue and margin growth, partially offset by the impact of higher compensation expense related to legacy Series A Interests paid for by entities outside of Legence. Approximately one-third of the increase in gross profit resulted from the acquisition of Bowers. The increase in margin was primarily due to strong project execution and greater economies of scale in customer fulfillment support costs.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Selling, General &amp; Administrative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increased $46.6 million during the three months ended March 31, 2026 compared to the three months ended March 31, 2025, primarily driven by $40.6 million in compensation expense largely due to higher compensation expense related to legacy Series A Interests paid for by entities outside of Legence as well as higher headcount. Lease and related expenses increased $2.9 million. Selling, general and administrative expenses as a percentage of revenue declined from 13.7%, during the three months ended March 31, 2025, to 11.2% during the three months ended March 31, 2026.</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Depreciation and Amortization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increase in depreciation and amortization is primarily attributable to an increase in the amortization of intangible assets associated with acquisitions completed in late 2025 and during the three months ended March 31, 2026.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Acquisition-related costs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increase in acquisition-related costs of $11.3 million is primarily due to costs associated with the Bowers acquisition, including $9.3 million of transaction compensation expense.</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Interest Expense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decrease in interest expense is primarily attributable to lower average borrowings during the three months ended March 31, 2026 as compared to the three months ended March 31, 2025.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Income Tax (Benefit) Expense</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Income tax benefit was $13.4 million for the three months ended March 31, 2026, and resulted in a negative effective tax rate of negative 333.4%, as compared to income tax expense of $4.0 million for the three months ended March 31, 2025 and a negative effective tax rate of negative 26.7%. For the three months ended March 31, 2026, the effective tax rate was lower than the U.S. federal statutory rate of 21%, primarily due to the release of valuation allowance on deferred tax assets related to the TRA liability. For the three months ended March 31, 2025, the effective tax rate was lower than the 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federal statutory rate of 21% primarily due to the loss before income tax from pass-through entities that are not subject to income taxes at the Company level.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Overview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As of March 31, 2026 and December 31, 2025, our primary sources of liquidity included $244.6 million and $230.2 million, respectively, of cash and cash equivalents, $169.3 million and $194.3 million, respectively, available to be borrowed under the Revolving Credit Facility, as well as cash flows from operations. We expect our primary sources of liquidity to be cash flows from operations, borrowings incurred under our Revolving Credit Facility or proceeds from offerings of debt or equity securities. Access to additional liquidity, such as a further increase in the borrowing capacity under our existing Revolving Credit Facility or a new financing arrangement, will depend upon our future financial position and debt market conditions.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To date, our primary uses of capital have included funding working capital, capital expenditures for equipment used in our business, acquisitions and refinancing or repayment of debt and associated interest. Although our capital expenditures have historically been low relative to our revenues, we expect an increase in future periods due to our investment in fabrication capacity expansion within our Installation &amp; Maintenance segment.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Although we cannot provide any assurance that our cash flows from operations will be sufficient to fund our operations or that additional capital will be available to us on acceptable terms, or at all, we believe our primary sources of liquidity are sufficient to fund our ongoing working capital, investing and financing requirements for at least the next twelve months and beyond. In the event that we require additional capital, we may seek to raise funds at any time through equity, equity-linked arrangements and debt. If we are unable to raise additional capital when desired and on reasonable terms, our business, results of operations, and financial condition would be adversely affected. Refer to “Part II, Item 1A. Risk Factors” for additional information.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Cash Flows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information presented below was derived from our Condensed Consolidated Statements of Cash Flows within the Condensed Consolidated Financial Statements and summarizes cash flow activity (dollars in thousands): </w:t>
      </w:r>
    </w:p>
    <w:tbl>
      <w:tblPr>
        <w:tblW w:w="5964" w:type="dxa"/>
        <w:jc w:val="left"/>
        <w:tblInd w:w="0" w:type="dxa"/>
        <w:tblLayout w:type="fixed"/>
        <w:tblCellMar>
          <w:top w:w="28" w:type="dxa"/>
          <w:left w:w="28" w:type="dxa"/>
          <w:bottom w:w="28" w:type="dxa"/>
          <w:right w:w="28" w:type="dxa"/>
        </w:tblCellMar>
      </w:tblPr>
      <w:tblGrid>
        <w:gridCol w:w="1135"/>
        <w:gridCol w:w="996"/>
        <w:gridCol w:w="1003"/>
        <w:gridCol w:w="233"/>
        <w:gridCol w:w="915"/>
        <w:gridCol w:w="120"/>
        <w:gridCol w:w="120"/>
        <w:gridCol w:w="120"/>
        <w:gridCol w:w="120"/>
        <w:gridCol w:w="233"/>
        <w:gridCol w:w="799"/>
        <w:gridCol w:w="170"/>
      </w:tblGrid>
      <w:tr>
        <w:trPr/>
        <w:tc>
          <w:tcPr>
            <w:tcW w:w="1135"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r>
      <w:tr>
        <w:trPr/>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Cash provided by (used in):</w:t>
            </w:r>
          </w:p>
        </w:tc>
        <w:tc>
          <w:tcPr>
            <w:tcW w:w="12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3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120,112 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29,461 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(299,019)</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(5,750)</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193,361 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(15,753)</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cash and cash equivalents</w:t>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14,454 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7,958 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both"/>
        <w:rPr/>
      </w:pPr>
      <w:r>
        <w:rPr>
          <w:rFonts w:ascii="Times New Roman;serif" w:hAnsi="Times New Roman;serif"/>
          <w:b w:val="false"/>
          <w:color w:val="000000"/>
          <w:sz w:val="20"/>
        </w:rPr>
        <w:t xml:space="preserve">Please refer to the supplemental cash flow information included in “Item 1. Financial Statements, </w:t>
      </w:r>
      <w:hyperlink w:anchor="i536dfd1a65fa4690be58666b4d51052e_82">
        <w:r>
          <w:rPr>
            <w:rStyle w:val="InternetLink"/>
            <w:rFonts w:ascii="Times New Roman;serif" w:hAnsi="Times New Roman;serif"/>
            <w:b w:val="false"/>
            <w:color w:val="0000FF"/>
            <w:sz w:val="20"/>
            <w:u w:val="single"/>
          </w:rPr>
          <w:t>Note 19—Other Financial Information</w:t>
        </w:r>
      </w:hyperlink>
      <w:r>
        <w:rPr>
          <w:color w:val="000000"/>
        </w:rPr>
        <w:t xml:space="preserve">” </w:t>
      </w:r>
      <w:r>
        <w:rPr>
          <w:rFonts w:ascii="Times New Roman;serif" w:hAnsi="Times New Roman;serif"/>
          <w:b w:val="false"/>
          <w:color w:val="000000"/>
          <w:sz w:val="20"/>
        </w:rPr>
        <w:t>in Notes to Condensed Consolidated Financial Statements for further details.</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Cash flow from operating activities is primarily influenced by the level of revenue we generate and the margin we earn on that revenue. It is also influenced by the timing of working capital investment associated with the services that we provide. Our working capital needs may increase when we commence large volumes of work under circumstances where project costs are required to be paid before such costs are billed and associated receivables are collected. Conversely, on some projects we receive up-front payments before project commencement. Our management strives to negotiate payment terms that minimize the working capital investment that we are required to make in connection with large projects. Additionally, changes in project timing due to delays or accelerations and other economic, regulatory, market and political factors may affect customer spending and, thus, impact cash flows from operating activities. We typically require higher working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capital investment during the second half of the year as activity levels increase in the spring and summer months and lower working capital investment during the first half of the year as activity levels decrease while we receive final payments on services deliver during the previous period.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Cash flows provided by operating activities increased $90.7 million for the three months ended March 31, 2026 compared to the three months ended March 31, 2025. The increase mainly reflects fluctuations in the primary components of working capital, as detailed in the Condensed Consolidated Statements of Cash Flows. Operating cash flows from contract liabilities increased $84.1 million during the three months ended March 31, 2026 compared to the three months ended March 31, 2025, primarily due to increased billings net of recognized revenue. Operating cash flows from accounts payable increased $31.9 million during the three months ended March 31, 2026 compared to the three months ended March 31, 2025, primarily due to increased business activity and timing of payments. These increases are partially offset by a $107.4 million decrease in operating cash flows from accounts receivable and contract assets during the three months ended March 31, 2026 compared to the three months ended March 31, 2025. The change in accounts receivable and contract assets is primarily driven by higher revenue and the timing of billing and collection, including the impact of the operations of the Bowers business during the period.</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Cash flows used in investing activities primarily consist of payments for the acquisition of businesses, capital expenditures and proceeds from the sale of property and equipment.</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Cash flows used in investing activities increased $293.3 million for the three months ended March 31, 2026 compared to the three months ended March 31, 2025 due to the acquisition of Bowers and Metrix during the three months ended March 31, 2026.</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Financing cash flows primarily consist of the issuance and repayment of short-term and long-term debt and financing lease payments.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cash provided by financing activities was $193.4 million, compared to cash used in financing activities of $15.8 million for the three months ended March 31, 2025. The $209.1 million increase in cash flows from financing activities is attributable to term loan and revolver borrowings of $200.0 million and $25.0 million, respectively, offset by revolver payments of $25.0 million during the three months ended March 31, 2026.</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Debt</w:t>
      </w:r>
    </w:p>
    <w:p>
      <w:pPr>
        <w:pStyle w:val="TextBody"/>
        <w:bidi w:val="0"/>
        <w:spacing w:lineRule="auto" w:line="288" w:before="180" w:after="180"/>
        <w:jc w:val="both"/>
        <w:rPr/>
      </w:pPr>
      <w:r>
        <w:rPr>
          <w:rFonts w:ascii="Times New Roman;serif" w:hAnsi="Times New Roman;serif"/>
          <w:b w:val="false"/>
          <w:color w:val="000000"/>
          <w:sz w:val="20"/>
        </w:rPr>
        <w:t>The ensuing discussion is not a complete description of all of the terms of our significant debt instruments. Please refer to “</w:t>
      </w:r>
      <w:hyperlink w:anchor="i536dfd1a65fa4690be58666b4d51052e_52">
        <w:r>
          <w:rPr>
            <w:rStyle w:val="InternetLink"/>
            <w:rFonts w:ascii="Times New Roman;serif" w:hAnsi="Times New Roman;serif"/>
            <w:b w:val="false"/>
            <w:color w:val="0000FF"/>
            <w:sz w:val="20"/>
            <w:u w:val="single"/>
          </w:rPr>
          <w:t>Note 7—Debt</w:t>
        </w:r>
      </w:hyperlink>
      <w:r>
        <w:rPr>
          <w:color w:val="000000"/>
        </w:rPr>
        <w:t xml:space="preserve">” </w:t>
      </w:r>
      <w:r>
        <w:rPr>
          <w:rFonts w:ascii="Times New Roman;serif" w:hAnsi="Times New Roman;serif"/>
          <w:b w:val="false"/>
          <w:color w:val="000000"/>
          <w:sz w:val="20"/>
        </w:rPr>
        <w:t>and “</w:t>
      </w:r>
      <w:hyperlink w:anchor="i536dfd1a65fa4690be58666b4d51052e_76">
        <w:r>
          <w:rPr>
            <w:rStyle w:val="InternetLink"/>
            <w:rFonts w:ascii="Times New Roman;serif" w:hAnsi="Times New Roman;serif"/>
            <w:b w:val="false"/>
            <w:color w:val="000080"/>
            <w:sz w:val="20"/>
            <w:u w:val="single"/>
          </w:rPr>
          <w:t>Note 1</w:t>
        </w:r>
      </w:hyperlink>
      <w:hyperlink w:anchor="i536dfd1a65fa4690be58666b4d51052e_76">
        <w:r>
          <w:rPr>
            <w:rStyle w:val="InternetLink"/>
            <w:rFonts w:ascii="Times New Roman;serif" w:hAnsi="Times New Roman;serif"/>
            <w:b w:val="false"/>
            <w:color w:val="000080"/>
            <w:sz w:val="20"/>
            <w:u w:val="single"/>
          </w:rPr>
          <w:t>7</w:t>
        </w:r>
      </w:hyperlink>
      <w:hyperlink w:anchor="i536dfd1a65fa4690be58666b4d51052e_76">
        <w:r>
          <w:rPr>
            <w:rStyle w:val="InternetLink"/>
            <w:rFonts w:ascii="Times New Roman;serif" w:hAnsi="Times New Roman;serif"/>
            <w:b w:val="false"/>
            <w:color w:val="000080"/>
            <w:sz w:val="20"/>
            <w:u w:val="single"/>
          </w:rPr>
          <w:t>—Related Party Transactions</w:t>
        </w:r>
      </w:hyperlink>
      <w:r>
        <w:rPr>
          <w:color w:val="000000"/>
        </w:rPr>
        <w:t xml:space="preserve">” </w:t>
      </w:r>
      <w:r>
        <w:rPr>
          <w:rFonts w:ascii="Times New Roman;serif" w:hAnsi="Times New Roman;serif"/>
          <w:b w:val="false"/>
          <w:color w:val="000000"/>
          <w:sz w:val="20"/>
        </w:rPr>
        <w:t>in Notes to Condensed Consolidated Financial Statements included in “Item 1. Financial Statements” for further information.</w:t>
      </w:r>
    </w:p>
    <w:p>
      <w:pPr>
        <w:pStyle w:val="TextBody"/>
        <w:bidi w:val="0"/>
        <w:spacing w:lineRule="auto" w:line="288" w:before="180" w:after="180"/>
        <w:jc w:val="both"/>
        <w:rPr>
          <w:rFonts w:ascii="Times New Roman;serif" w:hAnsi="Times New Roman;serif"/>
          <w:b w:val="false"/>
          <w:i/>
          <w:color w:val="000000"/>
          <w:sz w:val="20"/>
        </w:rPr>
      </w:pPr>
      <w:r>
        <w:rPr>
          <w:rFonts w:ascii="Times New Roman;serif" w:hAnsi="Times New Roman;serif"/>
          <w:b w:val="false"/>
          <w:i/>
          <w:color w:val="000000"/>
          <w:sz w:val="20"/>
        </w:rPr>
        <w:t>Credit Agreement</w:t>
      </w:r>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On December 16, 2020, Legence Holdings entered into a credit agreement with Jefferies Finance LLC as the administrative agent for a group of lenders, which provides for a term loan credit facility and a revolving credit facility. The term loan matures on December 16, 2031, and is secured by substantially all assets of the Company, subject to customary exclusions.</w:t>
      </w:r>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On January 2, 2026, Legence Holdings obtained a $200.0 million incremental term loan, and used the proceeds to fund acquisition-related payments. The incremental term loan increased the quarterly principal payments to $2.5 million.</w:t>
      </w:r>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On January 15, 2026, Legence Holdings amended its credit agreement to modify and clarify the terms governing letters of credit, while confirming that all existing letters of credit remain in effect and all other provisions of the agreement remain unchanged.</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Subject to the requirements of the credit agreement, Legence Holdings may also be required, as applicable, to make additional principal payments based on its excess cash flow, as defined in the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Under the terms of the Credit Agreement, Legence Holdings and its subsidiaries may be able to incur substantial additional indebtedness in the future, subject to certain conditions.</w:t>
      </w:r>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The credit agreement contains a springing financial maintenance covenant that requires the First Lien Net Leverage Ratio not to exceed 8.50 to 1.00 if certain testing conditions are satisfied. The credit agreement generally defines this as the ratio of first lien secured indebtedness (net of cash) to consolidated pro forma adjusted EBITDA for the preceding four fiscal quarters. The springing financial maintenance covenant is only tested if, as of the last day of each fiscal quarter, the amount of loans and/or letters of credit outstanding under the Revolving Credit Facility is greater than 35% of the aggregate revolving credit commitments. The springing financial maintenance covenant was not required to be tested during the periods presented in the Condensed Consolidated Financial Statements.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Credit Agreement includes customary covenants restricting the ability of Legence Holdings and its subsidiaries to, among other things, incur additional indebtedness, sell or convey assets, make loans to or investments in others, enter into mergers, incur liens and pay dividends or distributions.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Tax Receivable Agreement</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In connection with the Corporate Reorganization and the IPO, the Company entered into the TRA with Legence Parent and Legence Parent II (the “TRA Members”). This agreement generally provides for the payment by us to the TRA Members of 85% of the net cash savings, if any, in U.S. federal, state and local income tax that we (a) actually realize with respect to taxable periods ending after the IPO or (b) are deemed to realize in the event the TRA terminates early at our election, as a result of our breach or upon a change of control (as defined under the TRA, which includes certain mergers, asset sales and other forms of business combinations and certain changes to the composition of our board of directors) with respect to any taxable periods ending on or after such early termination event, in each case, as a result of (i) our allocable share of existing tax basis acquired in connection with the IPO and increases to such allocable share of existing tax basis; (ii) our utilization of certain tax attributes of the blocker entities that became subsidiaries of the Company pursuant to the Corporate Reorganization; (iii) increases in tax basis resulting from future redemptions or exchanges (or deemed exchanges in certain circumstances) of Legence Holdings interests for Class A Common Stock or cash and certain distributions (or deemed distributions) by Legence Holdings pursuant to the Exchange Agreement; and (iv) certain additional tax benefits arising from payments made under the TRA. We will retain the benefit of the remaining 15% of these cash savings, if any. If the TRA terminates early, we could be required to make a substantial, immediate lump-sum payment.</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We expect that the payments that we will be required to make under the TRA could be substantial. The exact amount of expected future payments under the TRA is dependent upon a number of factors, including the Company’s cash tax savings, the timing of exercises of the Exchange Right, the enacted tax rate in the years in which it utilizes tax attributes subject to the TRA, and current taxable income forecasts. These estimated rates and forecasts are subject to change based on actual results and realizations, which could have a material impact on the liability to be paid. Due to the uncertainty of these factors, we cannot precisely quantify the likely tax benefits we will realize. Any payments made by us to the TRA Members under the TRA will not be available for reinvestment in Legence Holdings (or indirectly, its business) and generally will reduce the amount of overall cash flow that might have otherwise been available to us. We expect to fund the required payments under the TRA with our actual cash tax savings generated by the exchanges of LGN B Units in the UP-C structure. Our ability to satisfy our long-term liquidity requirements depends on our future operating performance, which is affected by and subject to prevailing economic conditions, market conditions in our industry and financial, business and other factors that we will not be able to predict or control.</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term of the TRA commenced upon the IPO and will continue until all such tax benefits have been utilized or expired and all required payments are made, unless we exercise our right to terminate the TRA (or the TRA is terminated due to other circumstances, including our breach of a material obligation thereunder or certain mergers or other changes of control) by making the termination payment specified in the agreement.</w:t>
      </w:r>
    </w:p>
    <w:p>
      <w:pPr>
        <w:pStyle w:val="TextBody"/>
        <w:bidi w:val="0"/>
        <w:spacing w:lineRule="auto" w:line="288" w:before="180" w:after="180"/>
        <w:jc w:val="both"/>
        <w:rPr/>
      </w:pPr>
      <w:r>
        <w:rPr>
          <w:rFonts w:ascii="Times New Roman;serif" w:hAnsi="Times New Roman;serif"/>
          <w:b w:val="false"/>
          <w:color w:val="000000"/>
          <w:sz w:val="20"/>
        </w:rPr>
        <w:t xml:space="preserve">Our current and long-term TRA liability is $8.2 million and $208.8 million, respectively, as of March 31, 2026. Please refer to “Item 1. Financial Statements, </w:t>
      </w:r>
      <w:hyperlink w:anchor="i536dfd1a65fa4690be58666b4d51052e_1980">
        <w:r>
          <w:rPr>
            <w:rStyle w:val="InternetLink"/>
            <w:rFonts w:ascii="Times New Roman;serif" w:hAnsi="Times New Roman;serif"/>
            <w:b w:val="false"/>
            <w:color w:val="000080"/>
            <w:sz w:val="20"/>
            <w:u w:val="single"/>
          </w:rPr>
          <w:t xml:space="preserve">Note </w:t>
        </w:r>
      </w:hyperlink>
      <w:hyperlink w:anchor="i536dfd1a65fa4690be58666b4d51052e_1980">
        <w:r>
          <w:rPr>
            <w:rStyle w:val="InternetLink"/>
            <w:rFonts w:ascii="Times New Roman;serif" w:hAnsi="Times New Roman;serif"/>
            <w:b w:val="false"/>
            <w:color w:val="000080"/>
            <w:sz w:val="20"/>
            <w:u w:val="single"/>
          </w:rPr>
          <w:t>14</w:t>
        </w:r>
      </w:hyperlink>
      <w:hyperlink w:anchor="i536dfd1a65fa4690be58666b4d51052e_1980">
        <w:r>
          <w:rPr>
            <w:rStyle w:val="InternetLink"/>
            <w:rFonts w:ascii="Times New Roman;serif" w:hAnsi="Times New Roman;serif"/>
            <w:b w:val="false"/>
            <w:color w:val="000080"/>
            <w:sz w:val="20"/>
            <w:u w:val="single"/>
          </w:rPr>
          <w:t>—</w:t>
        </w:r>
      </w:hyperlink>
      <w:hyperlink w:anchor="i536dfd1a65fa4690be58666b4d51052e_1980">
        <w:r>
          <w:rPr>
            <w:rStyle w:val="InternetLink"/>
            <w:rFonts w:ascii="Times New Roman;serif" w:hAnsi="Times New Roman;serif"/>
            <w:b w:val="false"/>
            <w:color w:val="000080"/>
            <w:sz w:val="20"/>
            <w:u w:val="single"/>
          </w:rPr>
          <w:t>Tax Rece</w:t>
        </w:r>
      </w:hyperlink>
      <w:hyperlink w:anchor="i536dfd1a65fa4690be58666b4d51052e_1980">
        <w:r>
          <w:rPr>
            <w:rStyle w:val="InternetLink"/>
            <w:rFonts w:ascii="Times New Roman;serif" w:hAnsi="Times New Roman;serif"/>
            <w:b w:val="false"/>
            <w:color w:val="000080"/>
            <w:sz w:val="20"/>
            <w:u w:val="single"/>
          </w:rPr>
          <w:t>ivable Agreement</w:t>
        </w:r>
      </w:hyperlink>
      <w:r>
        <w:rPr>
          <w:color w:val="000000"/>
        </w:rPr>
        <w:t xml:space="preserve">” </w:t>
      </w:r>
      <w:r>
        <w:rPr>
          <w:rFonts w:ascii="Times New Roman;serif" w:hAnsi="Times New Roman;serif"/>
          <w:b w:val="false"/>
          <w:color w:val="000000"/>
          <w:sz w:val="20"/>
        </w:rPr>
        <w:t>and “</w:t>
      </w:r>
      <w:hyperlink w:anchor="i536dfd1a65fa4690be58666b4d51052e_76">
        <w:r>
          <w:rPr>
            <w:rStyle w:val="InternetLink"/>
            <w:rFonts w:ascii="Times New Roman;serif" w:hAnsi="Times New Roman;serif"/>
            <w:b w:val="false"/>
            <w:color w:val="0000FF"/>
            <w:sz w:val="20"/>
            <w:u w:val="single"/>
          </w:rPr>
          <w:t>Note 17—Related Party Transactions</w:t>
        </w:r>
      </w:hyperlink>
      <w:r>
        <w:rPr>
          <w:color w:val="000000"/>
        </w:rPr>
        <w:t xml:space="preserve">” </w:t>
      </w:r>
      <w:r>
        <w:rPr>
          <w:rFonts w:ascii="Times New Roman;serif" w:hAnsi="Times New Roman;serif"/>
          <w:b w:val="false"/>
          <w:color w:val="000000"/>
          <w:sz w:val="20"/>
        </w:rPr>
        <w:t>in Notes to Condensed Consolidated Financial Statements for further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Material Cash Requirements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As of March 31, 2026, our material cash requirements primarily consist of obligations under our financing arrangements and lease arrangements. As of March 31, 2026, the outstanding term loan balance is $995.3 million and the estimated future interest payments are $332.2 million. Future interest payments are estimated using the interest rate applicable as of March 31, 2026 applied to the outstanding balance, which decreases each quarter by principal payments of $2.5 million until the debt matures on December 16, 2031.</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we have various contingent obligations that we anticipate could require the use of cash based on contractual obligations as of March 31, 2026; however, the final amount payable or the timing may not be fixed and determinable. Such contingent obligations include the following: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Some of our customers require us to secure surety bonds from reputable financial institutions to guarantee execution on certain projects. In the event Legence or its subcontractors fail to meet its performance obligations, customers have the option to request that the surety bond provider fund the completion of the project using other service providers. Under the terms of these agreements, we are liable for any disbursement made by the bonding company because of our failure to perform. Surety bonds expire at various times ranging from final completion of a project to a period extending beyond contract completion in certain circumstances. Such amounts can also fluctuate from period to period based upon the mix and level of our bonded operating activity. For example, public sector contracts require surety bonds more frequently than private sector contracts, and accordingly, our bonding requirements typically increase as the amount of our public sector work increases. Our estimated maximum exposure as it relates to the value of the surety bonds outstanding is lowered on each bonded project as the cost to complete is reduced, and each commitment under a surety bond generally extinguishes concurrently with the expiration of its related contractual obligation. As of March 31, 2026 and December 31, 2025, $1,562.4 million and $561.5 million, respectively, of backlog and awarded contracts was subject to surety bond obligations.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As part of our normal course of business, we offer guaranteed energy savings to customers under certain contracts. As of March 31, 2026 and December 31, 2025, total guarantees were $299.8 million and $307.4 million, respectively. Should the guaranteed energy savings not be achieved, these guarantees would become due to the customers. Historically, we have not incurred notable losses in connection with these guarantees.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We have standby letters of credit that are secured through the revolving credit facility. Please refer to “Item 1. Financial Statements, </w:t>
      </w:r>
      <w:hyperlink w:anchor="i536dfd1a65fa4690be58666b4d51052e_52">
        <w:r>
          <w:rPr>
            <w:rStyle w:val="InternetLink"/>
            <w:rFonts w:ascii="Times New Roman;serif" w:hAnsi="Times New Roman;serif"/>
            <w:b w:val="false"/>
            <w:color w:val="0000FF"/>
            <w:sz w:val="20"/>
            <w:u w:val="single"/>
          </w:rPr>
          <w:t>Note 7—Debt</w:t>
        </w:r>
      </w:hyperlink>
      <w:r>
        <w:rPr>
          <w:color w:val="000000"/>
        </w:rPr>
        <w:t xml:space="preserve">” </w:t>
      </w:r>
      <w:r>
        <w:rPr>
          <w:rFonts w:ascii="Times New Roman;serif" w:hAnsi="Times New Roman;serif"/>
          <w:b w:val="false"/>
          <w:color w:val="000000"/>
          <w:sz w:val="20"/>
        </w:rPr>
        <w:t xml:space="preserve">in Notes to Condensed Consolidated Financial Statements for further information. Obligations under these letters of credit are not normally called, as we typically comply with the underlying requirements. As of March 31, 2026 and December 31, 2025, we had $30.7 million and $5.7 million, respectively, in standby letters of credit primarily related to surety bonds and the deductibles of insurance policies. Please refer to “Item 1. Financial Statements, </w:t>
      </w:r>
      <w:hyperlink w:anchor="i536dfd1a65fa4690be58666b4d51052e_79">
        <w:r>
          <w:rPr>
            <w:rStyle w:val="InternetLink"/>
          </w:rPr>
          <w:t xml:space="preserve">Note </w:t>
        </w:r>
      </w:hyperlink>
      <w:hyperlink w:anchor="i536dfd1a65fa4690be58666b4d51052e_79">
        <w:r>
          <w:rPr>
            <w:rStyle w:val="InternetLink"/>
          </w:rPr>
          <w:t>18</w:t>
        </w:r>
      </w:hyperlink>
      <w:hyperlink w:anchor="i536dfd1a65fa4690be58666b4d51052e_79">
        <w:r>
          <w:rPr>
            <w:rStyle w:val="InternetLink"/>
          </w:rPr>
          <w:t>—</w:t>
        </w:r>
      </w:hyperlink>
      <w:hyperlink w:anchor="i536dfd1a65fa4690be58666b4d51052e_79">
        <w:r>
          <w:rPr>
            <w:rStyle w:val="InternetLink"/>
          </w:rPr>
          <w:t>Commitments and Cont</w:t>
        </w:r>
      </w:hyperlink>
      <w:hyperlink w:anchor="i536dfd1a65fa4690be58666b4d51052e_79">
        <w:r>
          <w:rPr>
            <w:rStyle w:val="InternetLink"/>
          </w:rPr>
          <w:t>in</w:t>
        </w:r>
      </w:hyperlink>
      <w:hyperlink w:anchor="i536dfd1a65fa4690be58666b4d51052e_79">
        <w:r>
          <w:rPr>
            <w:rStyle w:val="InternetLink"/>
          </w:rPr>
          <w:t>gencies</w:t>
        </w:r>
      </w:hyperlink>
      <w:r>
        <w:rPr>
          <w:color w:val="000000"/>
        </w:rPr>
        <w:t xml:space="preserve">” </w:t>
      </w:r>
      <w:r>
        <w:rPr>
          <w:rFonts w:ascii="Times New Roman;serif" w:hAnsi="Times New Roman;serif"/>
          <w:b w:val="false"/>
          <w:color w:val="000000"/>
          <w:sz w:val="20"/>
        </w:rPr>
        <w:t xml:space="preserve">in Notes to Condensed Consolidated Financial Statements for further information.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Payments for collective bargaining agreements, multiemployer pension plan liabilities and liabilities related to our deferred compensation and other employee benefit plans.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Payments under the TRA.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 xml:space="preserve">Non-GAAP Financial Measures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Adjusted EBITDA and Adjusted EBITDA Margin are financial measures not presented in accordance with GAAP but are intended to provide useful and supplemental information to investors and analysts as they evaluate our performance. Adjusted EBITDA is defined as net income (loss) adjusted to exclude, or otherwise reflect, interest expense, interest income, income tax (benefit) expense, depreciation and amortization, credit agreement amendment fees, net gain on sale and disposition of property and equipment, acquisition and integration costs, system deployment costs, strategic initiative costs, indemnification asset adjustments, Tax Receivable Agreement liability remeasurements and stock-based compensation expense (benefit). Adjusted EBITDA Margin is defined as Adjusted EBITDA divided by revenue. Adjusted EBITDA should not be considered an alternative to net income (loss) that is derived in accordance with GAAP. Management believes that the exclusion of the above-described items from net income (loss) in the presentation of the non-GAAP measures identified above enables us and our investors to more effectively evaluate our operations period over period and to identify operating trends that might not be apparent due to, among other reasons, the variable nature of these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items, both in value and frequency, period over period. In addition, management believes these measures may be useful for investors in comparing our operating results with those of other companies.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non-GAAP financial measures may not be comparable to similarly titled measures used by other companies, have limitations as analytical tools and should not be considered in isolation, or substitutes for analysis of our operating results as reported under GAAP. Additionally, we do not consider our non-GAAP financial measures superior to, or a substitute for, the equivalent measures calculated and presented in accordance with GAAP. Some of the limitations are that such non-GAAP measures: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may exclude the recurring expenses of depreciation and amortization of property and equipment and definite-lived intangible assets and the assets being depreciated and amortized may have to be replaced in the future;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do not reflect changes in our working capital needs;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do not reflect the interest (income) expense on our indebtedness; or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do not reflect the income tax (benefit) expense we are required to make.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order to evaluate our business, we encourage you to review the financial statements included elsewhere in this Quarterly Report, and not rely on a single financial measure to evaluate our business.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provides a reconciliation of our net income (loss), the most directly comparable financial measure presented in accordance with GAAP, to Adjusted EBITDA, and a calculation of Adjusted EBITDA Margin for the periods presented herein (dollars in thousands): </w:t>
      </w:r>
    </w:p>
    <w:tbl>
      <w:tblPr>
        <w:tblW w:w="9755" w:type="dxa"/>
        <w:jc w:val="left"/>
        <w:tblInd w:w="0" w:type="dxa"/>
        <w:tblLayout w:type="fixed"/>
        <w:tblCellMar>
          <w:top w:w="28" w:type="dxa"/>
          <w:left w:w="28" w:type="dxa"/>
          <w:bottom w:w="28" w:type="dxa"/>
          <w:right w:w="28" w:type="dxa"/>
        </w:tblCellMar>
      </w:tblPr>
      <w:tblGrid>
        <w:gridCol w:w="1988"/>
        <w:gridCol w:w="1743"/>
        <w:gridCol w:w="1758"/>
        <w:gridCol w:w="109"/>
        <w:gridCol w:w="109"/>
        <w:gridCol w:w="109"/>
        <w:gridCol w:w="109"/>
        <w:gridCol w:w="109"/>
        <w:gridCol w:w="109"/>
        <w:gridCol w:w="109"/>
        <w:gridCol w:w="109"/>
        <w:gridCol w:w="109"/>
        <w:gridCol w:w="109"/>
        <w:gridCol w:w="109"/>
        <w:gridCol w:w="109"/>
        <w:gridCol w:w="211"/>
        <w:gridCol w:w="826"/>
        <w:gridCol w:w="271"/>
        <w:gridCol w:w="109"/>
        <w:gridCol w:w="109"/>
        <w:gridCol w:w="109"/>
        <w:gridCol w:w="211"/>
        <w:gridCol w:w="796"/>
        <w:gridCol w:w="316"/>
      </w:tblGrid>
      <w:tr>
        <w:trPr/>
        <w:tc>
          <w:tcPr>
            <w:tcW w:w="1988"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r>
      <w:tr>
        <w:trPr/>
        <w:tc>
          <w:tcPr>
            <w:tcW w:w="5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17,394 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(19,139)</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29,641 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(755)</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(13,381)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4,038 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42,276 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29,351 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Credit agreement amendment fees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gain on sale and disposition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Acquisition and integration costs</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11,693 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System deployment costs</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Strategic initiative costs</w:t>
            </w:r>
            <w:r>
              <w:rPr>
                <w:rFonts w:ascii="Times New Roman;serif" w:hAnsi="Times New Roman;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6,788 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Indemnification asset adjustments</w:t>
            </w:r>
            <w:r>
              <w:rPr>
                <w:rFonts w:ascii="Times New Roman;serif" w:hAnsi="Times New Roman;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Tax Receivable Agreement liability remeasurements</w:t>
            </w:r>
            <w:r>
              <w:rPr>
                <w:rFonts w:ascii="Times New Roman;serif" w:hAnsi="Times New Roman;serif"/>
                <w:b w:val="false"/>
                <w:color w:val="000000"/>
                <w:sz w:val="13"/>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Stock-based and other non-cash compensation expense (benefit)</w:t>
            </w:r>
            <w:r>
              <w:rPr>
                <w:rFonts w:ascii="Times New Roman;serif" w:hAnsi="Times New Roman;serif"/>
                <w:b w:val="false"/>
                <w:color w:val="000000"/>
                <w:sz w:val="13"/>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40,415 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(4,458)</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118,101 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50,819 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Adjusted EBITDA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(1)Represents costs incurred in connection with our debt refinancings in each of the periods presented. </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(2)For the three months ended March 31, 2026 and 2025, the figures include $11.4 million and $0.2 million, respectively, of acquisition costs recorded in acquisition-related costs and $0.3 million and $1.3 million, respectively, of acquisition integration costs recorded in selling, general and administrative costs in the Condensed Consolidated Statements of Operations. </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(3)Represents consulting and initial upfront costs associated with implementing and optimizing certain enterprise resource planning systems.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450"/>
        <w:jc w:val="both"/>
        <w:rPr/>
      </w:pPr>
      <w:r>
        <w:rPr>
          <w:rFonts w:ascii="Times New Roman;serif" w:hAnsi="Times New Roman;serif"/>
          <w:b w:val="false"/>
          <w:color w:val="000000"/>
          <w:sz w:val="20"/>
        </w:rPr>
        <w:t xml:space="preserve">(4)Represents (i) consulting, legal, accounting, and other expenses in connection with non-recurring extraordinary company transactions, including fees related to our IPO that did not meet the requirements to be deferred issuance costs and (ii) </w:t>
      </w:r>
      <w:r>
        <w:rPr>
          <w:rFonts w:ascii="Times New Roman;serif" w:hAnsi="Times New Roman;serif"/>
          <w:b w:val="false"/>
          <w:color w:val="231F20"/>
          <w:sz w:val="20"/>
        </w:rPr>
        <w:t>consulting, legal, accounting, and other expenses in connection with secondary offerings conducted on behalf of our selling shareholders.</w:t>
      </w:r>
    </w:p>
    <w:p>
      <w:pPr>
        <w:pStyle w:val="TextBody"/>
        <w:bidi w:val="0"/>
        <w:spacing w:lineRule="auto" w:line="288" w:before="0" w:after="0"/>
        <w:ind w:left="0" w:right="0" w:hanging="450"/>
        <w:jc w:val="both"/>
        <w:rPr/>
      </w:pPr>
      <w:r>
        <w:rPr>
          <w:rFonts w:ascii="Times New Roman;serif" w:hAnsi="Times New Roman;serif"/>
          <w:b w:val="false"/>
          <w:color w:val="000000"/>
          <w:sz w:val="20"/>
        </w:rPr>
        <w:t>(5)</w:t>
      </w:r>
      <w:r>
        <w:rPr>
          <w:rFonts w:ascii="Times New Roman;serif" w:hAnsi="Times New Roman;serif"/>
          <w:b w:val="false"/>
          <w:color w:val="231F20"/>
          <w:sz w:val="20"/>
        </w:rPr>
        <w:t xml:space="preserve">Represents adjustments to an indemnification asset related to </w:t>
      </w:r>
      <w:r>
        <w:rPr>
          <w:rFonts w:ascii="Times New Roman;serif" w:hAnsi="Times New Roman;serif"/>
          <w:b w:val="false"/>
          <w:color w:val="000000"/>
          <w:sz w:val="20"/>
        </w:rPr>
        <w:t>unrecognized tax benefits</w:t>
      </w:r>
      <w:r>
        <w:rPr>
          <w:color w:val="231F20"/>
        </w:rPr>
        <w:t xml:space="preserve"> </w:t>
      </w:r>
      <w:r>
        <w:rPr>
          <w:rFonts w:ascii="Times New Roman;serif" w:hAnsi="Times New Roman;serif"/>
          <w:b w:val="false"/>
          <w:color w:val="231F20"/>
          <w:sz w:val="20"/>
        </w:rPr>
        <w:t>acquired in a prior acquisition recorded in Other income, net in the Condensed Consolidated Statements of Operations and is fully offset in Income tax (benefit) expense in the Condensed Consolidated Statements of Operations.</w:t>
      </w:r>
    </w:p>
    <w:p>
      <w:pPr>
        <w:pStyle w:val="TextBody"/>
        <w:bidi w:val="0"/>
        <w:spacing w:lineRule="auto" w:line="288" w:before="0" w:after="0"/>
        <w:ind w:left="0" w:right="0" w:hanging="450"/>
        <w:jc w:val="left"/>
        <w:rPr>
          <w:rFonts w:ascii="Times New Roman;serif" w:hAnsi="Times New Roman;serif"/>
          <w:b w:val="false"/>
          <w:color w:val="231F20"/>
          <w:sz w:val="20"/>
        </w:rPr>
      </w:pPr>
      <w:r>
        <w:rPr>
          <w:rFonts w:ascii="Times New Roman;serif" w:hAnsi="Times New Roman;serif"/>
          <w:b w:val="false"/>
          <w:color w:val="231F20"/>
          <w:sz w:val="20"/>
        </w:rPr>
        <w:t>(6)TRA liability remeasurements are recorded in Other income, net in the Condensed Consolidated Statements of Operations.</w:t>
      </w:r>
    </w:p>
    <w:p>
      <w:pPr>
        <w:pStyle w:val="TextBody"/>
        <w:bidi w:val="0"/>
        <w:spacing w:lineRule="auto" w:line="288" w:before="0" w:after="0"/>
        <w:ind w:left="0" w:right="0" w:hanging="450"/>
        <w:jc w:val="left"/>
        <w:rPr>
          <w:rFonts w:ascii="Times New Roman;serif" w:hAnsi="Times New Roman;serif"/>
          <w:b w:val="false"/>
          <w:color w:val="231F20"/>
          <w:sz w:val="20"/>
        </w:rPr>
      </w:pPr>
      <w:r>
        <w:rPr>
          <w:rFonts w:ascii="Times New Roman;serif" w:hAnsi="Times New Roman;serif"/>
          <w:b w:val="false"/>
          <w:color w:val="231F20"/>
          <w:sz w:val="20"/>
        </w:rPr>
        <w:t>(7)Includes compensation expense for legacy Series A Interests and Restricted Series C Interests, as well as RSUs and stock options.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Backlog and Awarded Contracts and Book-to-Bill Ratio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We track backlog and awarded contracts. Our backlog and awarded contracts measure has two components: backlog and awarded contracts. Backlog represents, as of any date of determination, the expected revenue values of the remaining performance obligations under our contracted fixed-price projects. Awarded contracts represent, as of any date of determination, the expected revenue values of projects awarded to us following a request for proposals but for which a formal contract has not yet been signed.</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that these measures enable us to more effectively forecast our future results and working capital needs, as well as better identify future operating trends that may not otherwise be apparent. We believe this measure is also useful for investors in forecasting our future results and comparing us to our competitors. We also track our book-to-bill ratio, based on backlog and awarded contracts, for the same reasons. Our backlog is equivalent to our remaining performance obligations. Our awarded contracts are not performance obligations. As a result, there are no adjustments being made that would be reflected in a reconciliation. Our methodology for calculating backlog and awarded contracts or book-to-bill ratio may not be consistent with methodologies used by other companies.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only include fixed-price contracts in our backlog and awarded contracts because they have defined revenue values. We do not include cost-plus contracts, which are primarily generated in our Maintenance &amp; Service service line, in our backlog and awarded contracts because their total revenue values are not known. Historically, cost-plus projects have comprised a relatively small portion of our revenue. We calculate our book-to-bill ratio by taking our additions to backlog and awarded contracts, excluding additions that were attained through acquisition, for the period, and dividing it by revenue from fixed-price contracts for the same period. A book-to-bill ratio of 1.0 indicates that we are booking backlog and awarded contracts at the same pace as we are recognizing revenue, suggesting stable revenue in future periods. A book-to-bill ratio above 1.0 indicates that backlog and awarded contracts are outpacing revenue, which could indicate an increase in revenue in future periods. Conversely, a book-to-bill ratio below 1.0 indicates that backlog and awarded contracts are trailing revenue, which could indicate a decrease in future revenue. Given that backlog and awarded contracts and book-to-bill ratio are operational measures and that our methodology for calculating backlog and awarded contracts and book-to-bill ratio does not meet the definition of a non-GAAP measure, as that term is defined by the Commission, a quantitative reconciliation for each is not required nor provided.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our backlog and awarded contracts and book-to-bill ratio by reportable segment with book-to-bill ratio calculated during the periods noted (dollars in thousands): </w:t>
      </w:r>
    </w:p>
    <w:tbl>
      <w:tblPr>
        <w:tblW w:w="8417" w:type="dxa"/>
        <w:jc w:val="left"/>
        <w:tblInd w:w="0" w:type="dxa"/>
        <w:tblLayout w:type="fixed"/>
        <w:tblCellMar>
          <w:top w:w="28" w:type="dxa"/>
          <w:left w:w="28" w:type="dxa"/>
          <w:bottom w:w="28" w:type="dxa"/>
          <w:right w:w="28" w:type="dxa"/>
        </w:tblCellMar>
      </w:tblPr>
      <w:tblGrid>
        <w:gridCol w:w="1976"/>
        <w:gridCol w:w="1737"/>
        <w:gridCol w:w="1740"/>
        <w:gridCol w:w="211"/>
        <w:gridCol w:w="976"/>
        <w:gridCol w:w="109"/>
        <w:gridCol w:w="109"/>
        <w:gridCol w:w="109"/>
        <w:gridCol w:w="109"/>
        <w:gridCol w:w="211"/>
        <w:gridCol w:w="976"/>
        <w:gridCol w:w="154"/>
      </w:tblGrid>
      <w:tr>
        <w:trPr/>
        <w:tc>
          <w:tcPr>
            <w:tcW w:w="1976" w:type="dxa"/>
            <w:tcBorders/>
            <w:vAlign w:val="center"/>
          </w:tcPr>
          <w:p>
            <w:pPr>
              <w:pStyle w:val="TableContents"/>
              <w:bidi w:val="0"/>
              <w:spacing w:before="0" w:after="283"/>
              <w:jc w:val="left"/>
              <w:rPr>
                <w:sz w:val="4"/>
                <w:szCs w:val="4"/>
              </w:rPr>
            </w:pPr>
            <w:r>
              <w:rPr>
                <w:sz w:val="4"/>
                <w:szCs w:val="4"/>
              </w:rPr>
            </w:r>
          </w:p>
        </w:tc>
        <w:tc>
          <w:tcPr>
            <w:tcW w:w="1737"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w:t>
            </w:r>
          </w:p>
        </w:tc>
      </w:tr>
      <w:tr>
        <w:trPr/>
        <w:tc>
          <w:tcPr>
            <w:tcW w:w="5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45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Engineering &amp; Consulting</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Backlog</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656,457 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$616,302</w:t>
            </w:r>
          </w:p>
        </w:tc>
      </w:tr>
      <w:tr>
        <w:trPr/>
        <w:tc>
          <w:tcPr>
            <w:tcW w:w="545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317"/>
              <w:jc w:val="left"/>
              <w:rPr>
                <w:rFonts w:ascii="Times New Roman;serif" w:hAnsi="Times New Roman;serif"/>
                <w:b w:val="false"/>
                <w:color w:val="000000"/>
                <w:sz w:val="20"/>
              </w:rPr>
            </w:pPr>
            <w:r>
              <w:rPr>
                <w:rFonts w:ascii="Times New Roman;serif" w:hAnsi="Times New Roman;serif"/>
                <w:b w:val="false"/>
                <w:color w:val="000000"/>
                <w:sz w:val="20"/>
              </w:rPr>
              <w:t>Awarded contracts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279,993 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864"/>
              <w:jc w:val="left"/>
              <w:rPr>
                <w:rFonts w:ascii="Times New Roman;serif" w:hAnsi="Times New Roman;serif"/>
                <w:b w:val="false"/>
                <w:color w:val="000000"/>
                <w:sz w:val="20"/>
              </w:rPr>
            </w:pPr>
            <w:r>
              <w:rPr>
                <w:rFonts w:ascii="Times New Roman;serif" w:hAnsi="Times New Roman;serif"/>
                <w:b w:val="false"/>
                <w:color w:val="000000"/>
                <w:sz w:val="20"/>
              </w:rPr>
              <w:t>Backlog and awarded contracts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1,011,678 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896,295 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864"/>
              <w:jc w:val="left"/>
              <w:rPr>
                <w:rFonts w:ascii="Times New Roman;serif" w:hAnsi="Times New Roman;serif"/>
                <w:b w:val="false"/>
                <w:color w:val="000000"/>
                <w:sz w:val="20"/>
              </w:rPr>
            </w:pPr>
            <w:r>
              <w:rPr>
                <w:rFonts w:ascii="Times New Roman;serif" w:hAnsi="Times New Roman;serif"/>
                <w:b w:val="false"/>
                <w:color w:val="000000"/>
                <w:sz w:val="20"/>
              </w:rPr>
              <w:t>Book-to-bill ratio for the three months ended March 31</w:t>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1.3x</w:t>
            </w:r>
          </w:p>
        </w:tc>
      </w:tr>
      <w:tr>
        <w:trPr/>
        <w:tc>
          <w:tcPr>
            <w:tcW w:w="545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Installation &amp; Maintenance</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Backlog</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3,540,062 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1,237,454 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Awarded contracts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831,110 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506,126 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Backlog and awarded contracts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4,371,172 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1,743,580 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317"/>
              <w:jc w:val="left"/>
              <w:rPr>
                <w:color w:val="000000"/>
              </w:rPr>
            </w:pPr>
            <w:r>
              <w:rPr>
                <w:color w:val="000000"/>
              </w:rPr>
              <w:t>        </w:t>
            </w:r>
            <w:r>
              <w:rPr>
                <w:rFonts w:ascii="Times New Roman;serif" w:hAnsi="Times New Roman;serif"/>
                <w:b w:val="false"/>
                <w:color w:val="000000"/>
                <w:sz w:val="20"/>
              </w:rPr>
              <w:t>Book-to-bill ratio for the three months ended March 31</w:t>
            </w:r>
          </w:p>
        </w:tc>
        <w:tc>
          <w:tcPr>
            <w:tcW w:w="12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1.4x</w:t>
            </w:r>
          </w:p>
        </w:tc>
      </w:tr>
      <w:tr>
        <w:trPr/>
        <w:tc>
          <w:tcPr>
            <w:tcW w:w="545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Total</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Backlog</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4,196,519 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1,853,756 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Awarded contracts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1,186,331 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786,119 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Backlog and awarded contracts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5,382,850 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2,639,875 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317"/>
              <w:jc w:val="left"/>
              <w:rPr>
                <w:color w:val="000000"/>
              </w:rPr>
            </w:pPr>
            <w:r>
              <w:rPr>
                <w:color w:val="000000"/>
              </w:rPr>
              <w:t>        </w:t>
            </w:r>
            <w:r>
              <w:rPr>
                <w:rFonts w:ascii="Times New Roman;serif" w:hAnsi="Times New Roman;serif"/>
                <w:b w:val="false"/>
                <w:color w:val="000000"/>
                <w:sz w:val="20"/>
              </w:rPr>
              <w:t>Book-to-bill ratio for the three months ended March 31</w:t>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1.4x</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increase in backlog and awarded contracts from March 31, 2025 to March 31, 2026 resulted from an increase in awards in both segments. The increase in Engineering &amp; Consulting was primarily driven by new projects within the state &amp; local government and education end markets. The increase in Installation &amp; Maintenance was primarily driven by new projects within the data centers &amp; technology end market.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 xml:space="preserve">Critical Accounting Estimates </w:t>
      </w:r>
    </w:p>
    <w:p>
      <w:pPr>
        <w:pStyle w:val="TextBody"/>
        <w:bidi w:val="0"/>
        <w:spacing w:lineRule="auto" w:line="288" w:before="180" w:after="180"/>
        <w:jc w:val="both"/>
        <w:rPr/>
      </w:pPr>
      <w:r>
        <w:rPr>
          <w:rFonts w:ascii="Times New Roman;serif" w:hAnsi="Times New Roman;serif"/>
          <w:b w:val="false"/>
          <w:color w:val="000000"/>
          <w:sz w:val="20"/>
        </w:rPr>
        <w:t xml:space="preserve">Our management’s discussion and analysis of our financial condition and results of operations is based on our Condensed Consolidated Financial Statements. The preparation of the Condensed Consolidated Financial Statements in conformity with GAAP requires us to make certain estimates, judgments and assumptions that affect the reported amounts of assets and liabilities, the related revenues and expenses and disclosures in the financial statements. Actual results could differ from those estimates. Our significant accounting policies are discussed in “Item 1. Financial Statements, </w:t>
      </w:r>
      <w:hyperlink w:anchor="i536dfd1a65fa4690be58666b4d51052e_28">
        <w:r>
          <w:rPr>
            <w:rStyle w:val="InternetLink"/>
            <w:rFonts w:ascii="Times New Roman;serif" w:hAnsi="Times New Roman;serif"/>
            <w:b w:val="false"/>
            <w:color w:val="0000FF"/>
            <w:sz w:val="20"/>
            <w:u w:val="single"/>
          </w:rPr>
          <w:t>Note 2—Summary of Significant Accounting Policies</w:t>
        </w:r>
      </w:hyperlink>
      <w:r>
        <w:rPr>
          <w:color w:val="000000"/>
        </w:rPr>
        <w:t xml:space="preserve">” </w:t>
      </w:r>
      <w:r>
        <w:rPr>
          <w:rFonts w:ascii="Times New Roman;serif" w:hAnsi="Times New Roman;serif"/>
          <w:b w:val="false"/>
          <w:color w:val="000000"/>
          <w:sz w:val="20"/>
        </w:rPr>
        <w:t>in Notes to Condensed Consolidated Financial Statements included elsewhere in this Quarterly Report and in “Note 2—Summary of Significant Accounting Policies” in Notes to Consolidated Financial Statements as presented in our 2025 Annual Report. These policies, along with our underlying judgments and assumptions made in their application, have a significant impact on our Condensed Consolidated Financial Statements.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We identify our critical accounting policies as those that are the most pervasive and important to the portrayal of our financial position and operating results and that require the most difficult, subjective and/or complex judgments regarding estimates in matters that are inherently uncertain. Our critical accounting policies are those related to revenue recognition, goodwill, the TRA, income taxes, acquisitions and valuation of intangible assets. Refer to "Item 7. Management's Discussion and Analysis of Financial Condition and Results of Operations - Critical Accounting Estimates" in Part II of our 2025 Annual Report.</w:t>
      </w: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 xml:space="preserve">Recent Accounting Pronouncements </w:t>
      </w:r>
    </w:p>
    <w:p>
      <w:pPr>
        <w:pStyle w:val="TextBody"/>
        <w:bidi w:val="0"/>
        <w:spacing w:lineRule="auto" w:line="288" w:before="180" w:after="180"/>
        <w:jc w:val="left"/>
        <w:rPr/>
      </w:pPr>
      <w:r>
        <w:rPr>
          <w:rFonts w:ascii="Times New Roman;serif" w:hAnsi="Times New Roman;serif"/>
          <w:b w:val="false"/>
          <w:color w:val="000000"/>
          <w:sz w:val="20"/>
        </w:rPr>
        <w:t xml:space="preserve">Refer to “Item 1. Financial Statements, </w:t>
      </w:r>
      <w:hyperlink w:anchor="i536dfd1a65fa4690be58666b4d51052e_28">
        <w:r>
          <w:rPr>
            <w:rStyle w:val="InternetLink"/>
            <w:rFonts w:ascii="Times New Roman;serif" w:hAnsi="Times New Roman;serif"/>
            <w:b w:val="false"/>
            <w:color w:val="0000FF"/>
            <w:sz w:val="20"/>
            <w:u w:val="single"/>
          </w:rPr>
          <w:t>Note 2—Summary of Significant Accounting Policies</w:t>
        </w:r>
      </w:hyperlink>
      <w:r>
        <w:rPr>
          <w:color w:val="000000"/>
        </w:rPr>
        <w:t xml:space="preserve">” </w:t>
      </w:r>
      <w:r>
        <w:rPr>
          <w:rFonts w:ascii="Times New Roman;serif" w:hAnsi="Times New Roman;serif"/>
          <w:b w:val="false"/>
          <w:color w:val="000000"/>
          <w:sz w:val="20"/>
        </w:rPr>
        <w:t>in Notes to Condensed Consolidated Financial Statements for more information regarding recent accounting pronouncements.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 xml:space="preserve">Item 3. Quantitative and Qualitative Disclosures About Market Risk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the normal course of business, we are exposed to financial risks such as changes in interest rates and inflation risk associated with our input costs. We utilize derivative instruments, classified as cash flow hedges, to manage interest rate exposures on our floating rate debt. </w:t>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 xml:space="preserve">Interest Rate Risk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exposure to market risk for changes in interest rates relates primarily to our long-term debt. The interest expense associated with our long-term debt will vary with market rates. We seek to mitigate this risk with an appropriate amount of fixed rate debt obligations through interest rate derivative contracts that fix the interest rate on the respective floating rate debt obligations. Without taking into consideration the effect of our interest rate swap agreements, based upon our outstanding principal amount of floating rate debt of $995.3 million as of March 31, 2026, and $797.8 million as of December 31, 2025, an increase in the current interest rate levels of 1.0% would result in an increase in our annual interest expense of $10.0 million and $8.0 million, respectively. </w:t>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 xml:space="preserve">Inflation Risk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Rising or consistently high rates of inflation, including as a result of geopolitical tensions and trade wars, have the potential to increase costs of labor and other inputs for our services. We have experienced, and may experience in the future, higher than expected inflation, including escalating transportation, commodity and other supply chain costs and disruptions. If our costs are subject to significant inflationary pressures, we may not be able to offset such higher costs through price increases, which could adversely affect our business, results of operations or financial condition. </w:t>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 xml:space="preserve">Credit Risk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Financial instruments that potentially subject us to a concentration of credit risk consist principally of contract assets and accounts receivable. Exposure to losses on receivables is principally dependent on each customer’s financial condition. We monitor the exposure for credit losses and maintain allowances for anticipated losses. We may also require prepayments for certain of our services. Concentrations of credit risk with respect to our receivables are somewhat limited due to the large number of customers comprising our customer base and their dispersion among many different geographies.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principal executive officer and principal financial officer, evaluated the effectiveness of our disclosure controls and procedures as of March 31, 2026, the end of the period covered by this Quarterly Report.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SEC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 Based on the evaluation of our disclosure controls and procedures as of March 31, 2026, our principal executive officer and principal financial officer concluded that, as of such date, our disclosure controls and procedures were not effective at the reasonable assurance level due to the material weaknesses in our internal control over financial reporting described below. However, after giving full consideration to such material weaknesses, and the additional analyses and other procedures that we performed to ensure that our Condensed Consolidated Financial Statements included in this Quarterly Report were prepared in accordance with U.S. GAAP, our management has concluded that such Condensed Consolidated Financial Statements present fairly, in all material respects, our financial position, results of operations and cash flows for the periods disclosed in conformity with U.S. GAAP.</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and our independent registered public accounting firm have identified material weaknesses in our internal control over financial reporting. A material weakness is a deficiency, or a combination of deficiencies, in internal control over financial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reporting such that there is a reasonable possibility that a material misstatement of our financial statements will not be prevented or detected on a timely basis. Specifically, we did not (i) design and implement effective general information technology controls (“GITCs”) for multiple business units’ information systems that are relevant to the preparation of the consolidated financial statements and which provide appropriate segregation of duties to adequately restrict general user and privileged access to financial information systems to appropriate Company personnel or (ii) fully maintain certain components of the Committee of Sponsoring Organizations of the Treadway Commission framework, including elements of information and communication and control activities. As a result, we have observed at a few business units a lack of evidence of sufficient journal entry review as well as conflicts whereby personnel have the ability to both prepare and post journal entries to the general ledger. The Company’s business process controls that are dependent on these ineffective controls, or that rely on data produced from these systems, could be adversely affected. We determined that these material weaknesses remained unremediated as of March 31, 2026.</w:t>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Remediation Plan for the Material Weaknesses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In response to the material weaknesses described above, our management, with the oversight of the Audit Committee, is in the process of developing and implementing a remediation plan. During the first quarter of 2026, we have continued to implement a more robust internal control IT framework that includes bolstered enterprise-wide access request protocols. We have also made personnel changes and have rolled out bolstered processes at multiple business units to document and verify the journal entry review process and remove existing conflicts. To support those efforts, we have engaged a third-party firm to assist with the documentation of our processes and internal controls and to identify additional control owner training gaps that should be addressed in support of the implementation of effective GITCs and other controls. Such training includes best practices on how to sufficiently document and evidence the operation of such GITCs and adequate journal entry review processes. We have also hired a Chief Information Officer with extensive knowledge in enterprise-wide technology strategy and integration who will further assist in the supervision of the remediation of the GITC deficiencies. We will continue to dedicate significant efforts and resources to ensure reporting requirements are met and proper segregation of duties are maintained to address the material weaknesses identified above.</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material weaknesses will be considered remediated when our management designs and implements effective controls that operate for a sufficient period of time and management has concluded, through testing, that these controls are effective. Our management will monitor the effectiveness of its remediation plans and will make changes it determines to be appropriate. We have not incurred any material costs to date and do not expect to incur any material costs in connection with the remediation of the material weaknesses in the future, based on our current remediation plan. We cannot assure you that the measures that we have taken, and that will be taken will remedy the material weaknesses or will be sufficient to prevent future material weaknesses from occurring. We also cannot assure you that we have identified all of our existing material weaknesses.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If we are unable to remediate our existing material weaknesses or identify additional material weaknesses and are unable to comply with the requirements of Section 404 of SOX in a timely manner or attest, starting with the filing of our Annual Report on Form 10-K for the year ended December 31, 2026, that our internal controls over financial reporting are effective, or if our independent registered public accounting firm is unable to express an opinion as to the effectiveness of our internal control over financial reporting, starting with the filing our Annual Report on Form 10-K for the year ended December 31, 2026, our business processes controls that are dependent on these ineffective controls, or that rely on data produced from these systems, could be adversely affected, investors may lose confidence in the accuracy and completeness of our financial reports and the market price of our Class A Common Stock could be negatively affected. In such cases, we also could become subject to investigations by the Nasdaq, the SEC or other regulatory authorities, which could require additional financial and management resources.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internal control system is supported by written policies and procedures and contains self-monitoring mechanisms. Appropriate actions are taken by management to correct deficiencies as they are identified.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Except for the remediation efforts related to the material weaknesses described above, there was no change in the Company’s internal control over financial reporting (as defined in Rule 13a-15(f) and Rule 15d-15(f) under the Exchange Act) during the quarter ended March 31, 2026 that has materially affected, or is reasonably likely to materially affect, the Company’s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80" w:after="180"/>
        <w:jc w:val="both"/>
        <w:rPr/>
      </w:pPr>
      <w:r>
        <w:rPr>
          <w:rFonts w:ascii="Times New Roman;serif" w:hAnsi="Times New Roman;serif"/>
          <w:b w:val="false"/>
          <w:color w:val="000000"/>
          <w:sz w:val="20"/>
        </w:rPr>
        <w:t xml:space="preserve">From time to time, we and our subsidiaries may be involved in various legal proceedings, claims and litigation arising in the ordinary course of business. We believe these matters will not have a material adverse effect on our business, financial condition or results of operations. Refer to “Part I. Financial Information, Item 1. Financial Statements, </w:t>
      </w:r>
      <w:hyperlink w:anchor="i536dfd1a65fa4690be58666b4d51052e_79">
        <w:r>
          <w:rPr>
            <w:rStyle w:val="InternetLink"/>
            <w:rFonts w:ascii="Times New Roman;serif" w:hAnsi="Times New Roman;serif"/>
            <w:b w:val="false"/>
            <w:color w:val="000080"/>
            <w:sz w:val="20"/>
            <w:u w:val="single"/>
          </w:rPr>
          <w:t xml:space="preserve">Note </w:t>
        </w:r>
      </w:hyperlink>
      <w:hyperlink w:anchor="i536dfd1a65fa4690be58666b4d51052e_79">
        <w:r>
          <w:rPr>
            <w:rStyle w:val="InternetLink"/>
            <w:rFonts w:ascii="Times New Roman;serif" w:hAnsi="Times New Roman;serif"/>
            <w:b w:val="false"/>
            <w:color w:val="000080"/>
            <w:sz w:val="20"/>
            <w:u w:val="single"/>
          </w:rPr>
          <w:t>18</w:t>
        </w:r>
      </w:hyperlink>
      <w:hyperlink w:anchor="i536dfd1a65fa4690be58666b4d51052e_79">
        <w:r>
          <w:rPr>
            <w:rStyle w:val="InternetLink"/>
            <w:rFonts w:ascii="Times New Roman;serif" w:hAnsi="Times New Roman;serif"/>
            <w:b w:val="false"/>
            <w:color w:val="000080"/>
            <w:sz w:val="20"/>
            <w:u w:val="single"/>
          </w:rPr>
          <w:t>—</w:t>
        </w:r>
      </w:hyperlink>
      <w:hyperlink w:anchor="i536dfd1a65fa4690be58666b4d51052e_79">
        <w:r>
          <w:rPr>
            <w:rStyle w:val="InternetLink"/>
            <w:rFonts w:ascii="Times New Roman;serif" w:hAnsi="Times New Roman;serif"/>
            <w:b w:val="false"/>
            <w:color w:val="000080"/>
            <w:sz w:val="20"/>
            <w:u w:val="single"/>
          </w:rPr>
          <w:t>Commitments and Contingencies</w:t>
        </w:r>
      </w:hyperlink>
      <w:r>
        <w:rPr>
          <w:color w:val="000000"/>
        </w:rPr>
        <w:t>”</w:t>
      </w:r>
      <w:r>
        <w:rPr>
          <w:rFonts w:ascii="Times New Roman;serif" w:hAnsi="Times New Roman;serif"/>
          <w:b w:val="false"/>
          <w:color w:val="000000"/>
          <w:sz w:val="20"/>
        </w:rPr>
        <w:t>in Notes to Condensed Consolidated Financial Statements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Our business faces many risks. In addition to the other information set forth in this Quarterly Report, you should carefully consider the risk factors and other cautionary statements described under“Item 1A. Risk Factors” in our 2025 Annual Report, and the risk factors and other cautionary statements contained in our subsequent SEC filings. Additional risks and uncertainties not currently known to us or that we currently deem to be immaterial also may materially adversely affect our business, financial condition or future results. There have been no material changes in our risk factors from those described in the 2025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Recent Sales of Unregistered Securities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January 2, 2026, we and Legence Subsidiary Holdings, LLC, a Delaware limited liability company (the “Purchaser”), consummated the previously announced acquisition of Bowers (the “Bowers Acquisition”) pursuant to the Equity Purchase Agreement (the “Purchase Agreement” and, the consummation of the transactions contemplated thereby, the “Bowers Acquisition Closing”), dated as of November 13, 2025, by and among the Company, the Purchaser, Bowers, and Wayne E. Bowers Revocable Living Trust, Quiet Harbor Trust and The David O’Donnell Revocable Trust dated Nov. 15, 2008 (collectively, the “Sellers”). The Purchase Agreement provided for a series of transactions, on the terms and subject to the conditions set forth therein, whereby (i) the Sellers caused Bowers and certain of its subsidiaries to convert into Maryland limited liability companies and the Sellers contributed 100% of the Bowers Interests to a newly formed Delaware limited liability company wholly owned by the Sellers (“NewCo”), which joined as a party to the Purchase Agreement, and (ii) the Purchaser purchased from NewCo all of the Bowers Interests in exchange for 2,551,672 shares of Class A Common Stock and approximately $325 million in cash, subject to customary post-closing adjustments.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on the terms and subject to the conditions set forth in the Purchase Agreement, on the Deferred Consideration Date, NewCo will receive an amount equal to $50 million, payable in either, or any combination of, as determined in the Purchaser’s sole discretion, (i) cash or (ii) shares of Class A Common Stock. The amount of Deferred Consideration Shares will be determined based on the volume weighted average sales price of the Class A Common Stock, as traded on Nasdaq, calculated for the 10 trading day period ending on the last trading day that occurs at least 3 days prior to the Deferred Consideration Date.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issuance of the Stock Consideration was, and the issuance of any Deferred Consideration Shares will be, on the terms and subject to the conditions set forth in the Purchase Agreement, completed in reliance on an exemption from the registration requirements of the Securities Act of 1933, as amended (the "Securities Act") pursuant to Section 4(a)(2) thereof as a transaction by an issuer not involving any public offering.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March 1, 2026, we and our wholly owned subsidiary, OCI Associates, LLC, acquired certain assets from Metrix Engineers, LLC (“Metrix”) in exchange for approximately $25 million in cash, subject to customary post-closing adjustments, and 149,331 shares of Class A Common Stock, which shares, at Metrix’s direction, were issued to beneficial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owners of Metrix in reliance on an exemption from the registration requirements of the Securities Act pursuant to Section 4(a)(2) thereof as transactions by an issuer not involving any public offering.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stock issuances described above did not involve any underwriters, underwriting discounts or commissions, or any public offering and we believe such issuances are exempt from the registration requirements of the Securities Act by virtue of Section 4(a)(2) thereof.</w:t>
      </w:r>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Issuer Purchases of Equity Securities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did not repurchase any equity securities registered under Section 12 of the Exchange Act during the first quarter of 2026.</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Trading Plans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During the quarter ended March 31, 2026, no directors or officers, as defined in Rule 16a-1(f), adopted or terminated a “Rule 10b5-1 trading arrangement” or a “non-Rule 10b5-1 trading arrangement,” each as defined in Regulation S-K Item 408.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90"/>
        <w:gridCol w:w="256"/>
        <w:gridCol w:w="257"/>
        <w:gridCol w:w="3097"/>
        <w:gridCol w:w="2950"/>
        <w:gridCol w:w="2980"/>
        <w:gridCol w:w="109"/>
        <w:gridCol w:w="109"/>
        <w:gridCol w:w="157"/>
      </w:tblGrid>
      <w:tr>
        <w:trPr/>
        <w:tc>
          <w:tcPr>
            <w:tcW w:w="29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3097" w:type="dxa"/>
            <w:tcBorders/>
            <w:vAlign w:val="center"/>
          </w:tcPr>
          <w:p>
            <w:pPr>
              <w:pStyle w:val="TableContents"/>
              <w:bidi w:val="0"/>
              <w:spacing w:before="0" w:after="283"/>
              <w:jc w:val="left"/>
              <w:rPr>
                <w:sz w:val="4"/>
                <w:szCs w:val="4"/>
              </w:rPr>
            </w:pPr>
            <w:r>
              <w:rPr>
                <w:sz w:val="4"/>
                <w:szCs w:val="4"/>
              </w:rPr>
            </w:r>
          </w:p>
        </w:tc>
        <w:tc>
          <w:tcPr>
            <w:tcW w:w="2950" w:type="dxa"/>
            <w:tcBorders/>
            <w:vAlign w:val="center"/>
          </w:tcPr>
          <w:p>
            <w:pPr>
              <w:pStyle w:val="TableContents"/>
              <w:bidi w:val="0"/>
              <w:spacing w:before="0" w:after="283"/>
              <w:jc w:val="left"/>
              <w:rPr>
                <w:sz w:val="4"/>
                <w:szCs w:val="4"/>
              </w:rPr>
            </w:pPr>
            <w:r>
              <w:rPr>
                <w:sz w:val="4"/>
                <w:szCs w:val="4"/>
              </w:rPr>
            </w:r>
          </w:p>
        </w:tc>
        <w:tc>
          <w:tcPr>
            <w:tcW w:w="29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Exhibit</w:t>
              <w:br/>
              <w:t>Number</w:t>
            </w:r>
          </w:p>
        </w:tc>
        <w:tc>
          <w:tcPr>
            <w:tcW w:w="90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2.1</w:t>
            </w:r>
          </w:p>
        </w:tc>
        <w:tc>
          <w:tcPr>
            <w:tcW w:w="902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Times New Roman;serif" w:hAnsi="Times New Roman;serif"/>
                  <w:b w:val="false"/>
                  <w:color w:val="0000FF"/>
                  <w:sz w:val="20"/>
                  <w:u w:val="single"/>
                </w:rPr>
                <w:t>Equity Purchase Agreement, dated as of November 13, 2025, by and among The Bowers Group, Inc., a Maryland corporation, Wayne E. Bowers Revocable Living Trust, Quiet Harbor Trust and The David O’Donnell Revocable Trust dated Nov. 15, 2008, collectively as the sellers, Legence Subsidiary Holdings, LLC, as the purchaser, and Legence Corp., as parent of the purchaser (incorporated by reference to Exhibit 2.1 to the Company’s Current Report on Form 8-K, File No. 001-42838, filed with the SEC on November 14, 2025).</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902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erif" w:hAnsi="Times New Roman;serif"/>
                  <w:b w:val="false"/>
                  <w:color w:val="000080"/>
                  <w:sz w:val="20"/>
                  <w:u w:val="single"/>
                </w:rPr>
                <w:t>Amen</w:t>
              </w:r>
            </w:hyperlink>
            <w:hyperlink r:id="rId4">
              <w:r>
                <w:rPr>
                  <w:rStyle w:val="InternetLink"/>
                  <w:rFonts w:ascii="Times New Roman;serif" w:hAnsi="Times New Roman;serif"/>
                  <w:b w:val="false"/>
                  <w:color w:val="000080"/>
                  <w:sz w:val="20"/>
                  <w:u w:val="single"/>
                </w:rPr>
                <w:t>ded and Res</w:t>
              </w:r>
            </w:hyperlink>
            <w:hyperlink r:id="rId5">
              <w:r>
                <w:rPr>
                  <w:rStyle w:val="InternetLink"/>
                  <w:rFonts w:ascii="Times New Roman;serif" w:hAnsi="Times New Roman;serif"/>
                  <w:b w:val="false"/>
                  <w:color w:val="000080"/>
                  <w:sz w:val="20"/>
                  <w:u w:val="single"/>
                </w:rPr>
                <w:t xml:space="preserve">tated </w:t>
              </w:r>
            </w:hyperlink>
            <w:hyperlink r:id="rId6">
              <w:r>
                <w:rPr>
                  <w:rStyle w:val="InternetLink"/>
                  <w:rFonts w:ascii="Times New Roman;serif" w:hAnsi="Times New Roman;serif"/>
                  <w:b w:val="false"/>
                  <w:color w:val="000080"/>
                  <w:sz w:val="20"/>
                  <w:u w:val="single"/>
                </w:rPr>
                <w:t>Certificate of Incorporation of Legence Corp.</w:t>
              </w:r>
            </w:hyperlink>
            <w:hyperlink r:id="rId7">
              <w:r>
                <w:rPr>
                  <w:rStyle w:val="InternetLink"/>
                  <w:rFonts w:ascii="Times New Roman;serif" w:hAnsi="Times New Roman;serif"/>
                  <w:b w:val="false"/>
                  <w:color w:val="000080"/>
                  <w:sz w:val="20"/>
                  <w:u w:val="single"/>
                </w:rPr>
                <w:t xml:space="preserve"> </w:t>
              </w:r>
            </w:hyperlink>
            <w:hyperlink r:id="rId8">
              <w:r>
                <w:rPr>
                  <w:rStyle w:val="InternetLink"/>
                  <w:rFonts w:ascii="Times New Roman;serif" w:hAnsi="Times New Roman;serif"/>
                  <w:b w:val="false"/>
                  <w:color w:val="000080"/>
                  <w:sz w:val="20"/>
                  <w:u w:val="single"/>
                </w:rPr>
                <w:t>(incorporated by reference to Exhibit 3.1 to the Company’s Current Report on Form 8-K, File No. 001-4</w:t>
              </w:r>
            </w:hyperlink>
            <w:hyperlink r:id="rId9">
              <w:r>
                <w:rPr>
                  <w:rStyle w:val="InternetLink"/>
                  <w:rFonts w:ascii="Times New Roman;serif" w:hAnsi="Times New Roman;serif"/>
                  <w:b w:val="false"/>
                  <w:color w:val="000080"/>
                  <w:sz w:val="20"/>
                  <w:u w:val="single"/>
                </w:rPr>
                <w:t>2838</w:t>
              </w:r>
            </w:hyperlink>
            <w:hyperlink r:id="rId10">
              <w:r>
                <w:rPr>
                  <w:rStyle w:val="InternetLink"/>
                  <w:rFonts w:ascii="Times New Roman;serif" w:hAnsi="Times New Roman;serif"/>
                  <w:b w:val="false"/>
                  <w:color w:val="000080"/>
                  <w:sz w:val="20"/>
                  <w:u w:val="single"/>
                </w:rPr>
                <w:t>, filed with the Commission on</w:t>
              </w:r>
            </w:hyperlink>
            <w:hyperlink r:id="rId11">
              <w:r>
                <w:rPr>
                  <w:rStyle w:val="InternetLink"/>
                  <w:rFonts w:ascii="Times New Roman;serif" w:hAnsi="Times New Roman;serif"/>
                  <w:b w:val="false"/>
                  <w:color w:val="000080"/>
                  <w:sz w:val="20"/>
                  <w:u w:val="single"/>
                </w:rPr>
                <w:t xml:space="preserve"> September 15</w:t>
              </w:r>
            </w:hyperlink>
            <w:hyperlink r:id="rId12">
              <w:r>
                <w:rPr>
                  <w:rStyle w:val="InternetLink"/>
                  <w:rFonts w:ascii="Times New Roman;serif" w:hAnsi="Times New Roman;serif"/>
                  <w:b w:val="false"/>
                  <w:color w:val="000080"/>
                  <w:sz w:val="20"/>
                  <w:u w:val="single"/>
                </w:rPr>
                <w:t>, 202</w:t>
              </w:r>
            </w:hyperlink>
            <w:hyperlink r:id="rId13">
              <w:r>
                <w:rPr>
                  <w:rStyle w:val="InternetLink"/>
                  <w:rFonts w:ascii="Times New Roman;serif" w:hAnsi="Times New Roman;serif"/>
                  <w:b w:val="false"/>
                  <w:color w:val="000080"/>
                  <w:sz w:val="20"/>
                  <w:u w:val="single"/>
                </w:rPr>
                <w:t>5</w:t>
              </w:r>
            </w:hyperlink>
            <w:hyperlink r:id="rId14">
              <w:r>
                <w:rPr>
                  <w:rStyle w:val="InternetLink"/>
                  <w:rFonts w:ascii="Times New Roman;serif" w:hAnsi="Times New Roman;serif"/>
                  <w:b w:val="false"/>
                  <w:color w:val="000080"/>
                  <w:sz w:val="20"/>
                  <w:u w:val="single"/>
                </w:rPr>
                <w:t>).</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902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5">
              <w:bookmarkStart w:id="15" w:name="iff1fcdb52d7b4337802766c939102650_3-1-1-"/>
              <w:bookmarkEnd w:id="15"/>
              <w:r>
                <w:rPr>
                  <w:rStyle w:val="InternetLink"/>
                  <w:rFonts w:ascii="Times New Roman;serif" w:hAnsi="Times New Roman;serif"/>
                  <w:b w:val="false"/>
                  <w:color w:val="000080"/>
                  <w:sz w:val="20"/>
                  <w:u w:val="single"/>
                </w:rPr>
                <w:t xml:space="preserve">Amended and Restated </w:t>
              </w:r>
            </w:hyperlink>
            <w:hyperlink r:id="rId16">
              <w:r>
                <w:rPr>
                  <w:rStyle w:val="InternetLink"/>
                  <w:rFonts w:ascii="Times New Roman;serif" w:hAnsi="Times New Roman;serif"/>
                  <w:b w:val="false"/>
                  <w:color w:val="000080"/>
                  <w:sz w:val="20"/>
                  <w:u w:val="single"/>
                </w:rPr>
                <w:t>Bylaws of Legence Corp.</w:t>
              </w:r>
            </w:hyperlink>
            <w:hyperlink r:id="rId17">
              <w:r>
                <w:rPr>
                  <w:rStyle w:val="InternetLink"/>
                  <w:rFonts w:ascii="Times New Roman;serif" w:hAnsi="Times New Roman;serif"/>
                  <w:b w:val="false"/>
                  <w:color w:val="000080"/>
                  <w:sz w:val="20"/>
                  <w:u w:val="single"/>
                </w:rPr>
                <w:t>(incorporated by reference to Exhibit 3.</w:t>
              </w:r>
            </w:hyperlink>
            <w:hyperlink r:id="rId18">
              <w:r>
                <w:rPr>
                  <w:rStyle w:val="InternetLink"/>
                  <w:rFonts w:ascii="Times New Roman;serif" w:hAnsi="Times New Roman;serif"/>
                  <w:b w:val="false"/>
                  <w:color w:val="000080"/>
                  <w:sz w:val="20"/>
                  <w:u w:val="single"/>
                </w:rPr>
                <w:t>2</w:t>
              </w:r>
            </w:hyperlink>
            <w:hyperlink r:id="rId19">
              <w:r>
                <w:rPr>
                  <w:rStyle w:val="InternetLink"/>
                  <w:rFonts w:ascii="Times New Roman;serif" w:hAnsi="Times New Roman;serif"/>
                  <w:b w:val="false"/>
                  <w:color w:val="000080"/>
                  <w:sz w:val="20"/>
                  <w:u w:val="single"/>
                </w:rPr>
                <w:t xml:space="preserve"> to the Company’s Current Report on Form 8-K, File No. 001-42838, filed with the Commission on September 15, 2025).</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3.3</w:t>
            </w:r>
          </w:p>
        </w:tc>
        <w:tc>
          <w:tcPr>
            <w:tcW w:w="902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0">
              <w:r>
                <w:rPr>
                  <w:rStyle w:val="InternetLink"/>
                  <w:rFonts w:ascii="Times New Roman;serif" w:hAnsi="Times New Roman;serif"/>
                  <w:b w:val="false"/>
                  <w:color w:val="0000FF"/>
                  <w:sz w:val="20"/>
                  <w:u w:val="single"/>
                </w:rPr>
                <w:t>Amended and Restated Limited Liability Company Agreement of Legence Holdings LLC, dated as of September 11, 2025 (incorporated by reference to Exhibit 10.1 to the Company’s Current Report on Form 8-K, File No. 001-42838, filed with the Commission on September 15, 2025).</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r>
              <w:rPr>
                <w:rFonts w:ascii="Times New Roman;serif" w:hAnsi="Times New Roman;serif"/>
                <w:b w:val="false"/>
                <w:color w:val="000000"/>
                <w:sz w:val="20"/>
              </w:rPr>
              <w:t>10.1</w:t>
            </w:r>
          </w:p>
        </w:tc>
        <w:tc>
          <w:tcPr>
            <w:tcW w:w="902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1">
              <w:r>
                <w:rPr>
                  <w:rStyle w:val="InternetLink"/>
                  <w:rFonts w:ascii="Times New Roman;serif" w:hAnsi="Times New Roman;serif"/>
                  <w:b w:val="false"/>
                  <w:color w:val="0000FF"/>
                  <w:sz w:val="20"/>
                  <w:u w:val="single"/>
                </w:rPr>
                <w:t>Amendment No. 12 to Credit Agreement, dated as of January 2, 2026 (incorporated by reference to Exhibit 10.1 to the Company’s Form 8-K, File No. 001-42838, filed with the Commission on January 2, 2026).</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r>
              <w:rPr>
                <w:rFonts w:ascii="Times New Roman;serif" w:hAnsi="Times New Roman;serif"/>
                <w:b w:val="false"/>
                <w:color w:val="000000"/>
                <w:sz w:val="20"/>
              </w:rPr>
              <w:t>10.2</w:t>
            </w:r>
          </w:p>
        </w:tc>
        <w:tc>
          <w:tcPr>
            <w:tcW w:w="902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2">
              <w:r>
                <w:rPr>
                  <w:rStyle w:val="InternetLink"/>
                  <w:rFonts w:ascii="Times New Roman;serif" w:hAnsi="Times New Roman;serif"/>
                  <w:b w:val="false"/>
                  <w:color w:val="000080"/>
                  <w:sz w:val="20"/>
                  <w:u w:val="single"/>
                </w:rPr>
                <w:t>Amendment No. 13 to Credit Agreement, dated as of January 15, 2026</w:t>
              </w:r>
            </w:hyperlink>
            <w:hyperlink r:id="rId23">
              <w:r>
                <w:rPr>
                  <w:rStyle w:val="InternetLink"/>
                  <w:rFonts w:ascii="Times New Roman;serif" w:hAnsi="Times New Roman;serif"/>
                  <w:b w:val="false"/>
                  <w:color w:val="000080"/>
                  <w:sz w:val="20"/>
                  <w:u w:val="single"/>
                </w:rPr>
                <w:t xml:space="preserve"> </w:t>
              </w:r>
            </w:hyperlink>
            <w:hyperlink r:id="rId24">
              <w:r>
                <w:rPr>
                  <w:rStyle w:val="InternetLink"/>
                  <w:rFonts w:ascii="Times New Roman;serif" w:hAnsi="Times New Roman;serif"/>
                  <w:b w:val="false"/>
                  <w:color w:val="000080"/>
                  <w:sz w:val="20"/>
                  <w:u w:val="single"/>
                </w:rPr>
                <w:t>(incorporated by reference to Exhibit 10.1</w:t>
              </w:r>
            </w:hyperlink>
            <w:hyperlink r:id="rId25">
              <w:r>
                <w:rPr>
                  <w:rStyle w:val="InternetLink"/>
                  <w:rFonts w:ascii="Times New Roman;serif" w:hAnsi="Times New Roman;serif"/>
                  <w:b w:val="false"/>
                  <w:color w:val="000080"/>
                  <w:sz w:val="20"/>
                  <w:u w:val="single"/>
                </w:rPr>
                <w:t>4</w:t>
              </w:r>
            </w:hyperlink>
            <w:hyperlink r:id="rId26">
              <w:r>
                <w:rPr>
                  <w:rStyle w:val="InternetLink"/>
                  <w:rFonts w:ascii="Times New Roman;serif" w:hAnsi="Times New Roman;serif"/>
                  <w:b w:val="false"/>
                  <w:color w:val="000080"/>
                  <w:sz w:val="20"/>
                  <w:u w:val="single"/>
                </w:rPr>
                <w:t xml:space="preserve"> to the Company’s </w:t>
              </w:r>
            </w:hyperlink>
            <w:hyperlink r:id="rId27">
              <w:r>
                <w:rPr>
                  <w:rStyle w:val="InternetLink"/>
                  <w:rFonts w:ascii="Times New Roman;serif" w:hAnsi="Times New Roman;serif"/>
                  <w:b w:val="false"/>
                  <w:color w:val="000080"/>
                  <w:sz w:val="20"/>
                  <w:u w:val="single"/>
                </w:rPr>
                <w:t xml:space="preserve">Annual </w:t>
              </w:r>
            </w:hyperlink>
            <w:hyperlink r:id="rId28">
              <w:r>
                <w:rPr>
                  <w:rStyle w:val="InternetLink"/>
                  <w:rFonts w:ascii="Times New Roman;serif" w:hAnsi="Times New Roman;serif"/>
                  <w:b w:val="false"/>
                  <w:color w:val="000080"/>
                  <w:sz w:val="20"/>
                  <w:u w:val="single"/>
                </w:rPr>
                <w:t>Report on Form 10-K</w:t>
              </w:r>
            </w:hyperlink>
            <w:hyperlink r:id="rId29">
              <w:r>
                <w:rPr>
                  <w:rStyle w:val="InternetLink"/>
                  <w:rFonts w:ascii="Times New Roman;serif" w:hAnsi="Times New Roman;serif"/>
                  <w:b w:val="false"/>
                  <w:color w:val="000080"/>
                  <w:sz w:val="20"/>
                  <w:u w:val="single"/>
                </w:rPr>
                <w:t xml:space="preserve">, File No. 001-42838, filed with the Commission on </w:t>
              </w:r>
            </w:hyperlink>
            <w:hyperlink r:id="rId30">
              <w:r>
                <w:rPr>
                  <w:rStyle w:val="InternetLink"/>
                  <w:rFonts w:ascii="Times New Roman;serif" w:hAnsi="Times New Roman;serif"/>
                  <w:b w:val="false"/>
                  <w:color w:val="000080"/>
                  <w:sz w:val="20"/>
                  <w:u w:val="single"/>
                </w:rPr>
                <w:t>March 30</w:t>
              </w:r>
            </w:hyperlink>
            <w:hyperlink r:id="rId31">
              <w:r>
                <w:rPr>
                  <w:rStyle w:val="InternetLink"/>
                  <w:rFonts w:ascii="Times New Roman;serif" w:hAnsi="Times New Roman;serif"/>
                  <w:b w:val="false"/>
                  <w:color w:val="000080"/>
                  <w:sz w:val="20"/>
                  <w:u w:val="single"/>
                </w:rPr>
                <w:t>, 2026).</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902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2">
              <w:r>
                <w:rPr>
                  <w:rStyle w:val="InternetLink"/>
                  <w:rFonts w:ascii="Times New Roman;serif" w:hAnsi="Times New Roman;serif"/>
                  <w:b w:val="false"/>
                  <w:color w:val="0000FF"/>
                  <w:sz w:val="20"/>
                  <w:u w:val="single"/>
                </w:rPr>
                <w:t>2026 Employee Stock Purchase Plan (incorporated by reference to Exhibit 4.3 to the Company’s Current Report on Form S-8, File No. 333-294093, filed with the Commission on March 6, 2026).</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02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lgnex1042026formofstockopt.htm">
              <w:r>
                <w:rPr>
                  <w:rStyle w:val="InternetLink"/>
                  <w:rFonts w:ascii="Times New Roman;serif" w:hAnsi="Times New Roman;serif"/>
                  <w:b w:val="false"/>
                  <w:color w:val="0000FF"/>
                  <w:sz w:val="20"/>
                  <w:u w:val="single"/>
                </w:rPr>
                <w:t>2026 Form of Stock Option Grant Notice and Award Agreement</w:t>
              </w:r>
            </w:hyperlink>
            <w:r>
              <w:rPr>
                <w:rFonts w:ascii="Times New Roman;serif" w:hAnsi="Times New Roman;serif"/>
                <w:b w:val="false"/>
                <w:color w:val="000000"/>
                <w:sz w:val="20"/>
              </w:rPr>
              <w: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*+10.5</w:t>
            </w:r>
          </w:p>
        </w:tc>
        <w:tc>
          <w:tcPr>
            <w:tcW w:w="902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lgnex1052026formofrsugrant.htm">
              <w:r>
                <w:rPr>
                  <w:rStyle w:val="InternetLink"/>
                  <w:rFonts w:ascii="Times New Roman;serif" w:hAnsi="Times New Roman;serif"/>
                  <w:b w:val="false"/>
                  <w:color w:val="0000FF"/>
                  <w:sz w:val="20"/>
                  <w:u w:val="single"/>
                </w:rPr>
                <w:t>2026 Form of RSU Grant Notice and Award Agreement</w:t>
              </w:r>
            </w:hyperlink>
            <w:r>
              <w:rPr>
                <w:rFonts w:ascii="Times New Roman;serif" w:hAnsi="Times New Roman;serif"/>
                <w:b w:val="false"/>
                <w:color w:val="000000"/>
                <w:sz w:val="20"/>
              </w:rPr>
              <w: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902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lgnex311q126.htm">
              <w:r>
                <w:rPr>
                  <w:rStyle w:val="InternetLink"/>
                  <w:rFonts w:ascii="Times New Roman;serif" w:hAnsi="Times New Roman;serif"/>
                  <w:b w:val="false"/>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902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lgnex312q126.htm">
              <w:r>
                <w:rPr>
                  <w:rStyle w:val="InternetLink"/>
                  <w:rFonts w:ascii="Times New Roman;serif" w:hAnsi="Times New Roman;serif"/>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902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lgnex321q126.htm">
              <w:bookmarkStart w:id="16" w:name="iff1fcdb52d7b4337802766c939102650_16-1-1"/>
              <w:bookmarkEnd w:id="16"/>
              <w:r>
                <w:rPr>
                  <w:rStyle w:val="InternetLink"/>
                  <w:rFonts w:ascii="Times New Roman;serif" w:hAnsi="Times New Roman;serif"/>
                  <w:b w:val="false"/>
                  <w:color w:val="0000FF"/>
                  <w:sz w:val="20"/>
                  <w:u w:val="single"/>
                </w:rPr>
                <w:t>Certification of Principal Executive Officer Pursuant to 18 U.S.C. Section 1350, as Adopted Pursuant to Section 906 of the Sarbanes-Oxley Act of 2002.</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902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lgnex322q126.htm">
              <w:r>
                <w:rPr>
                  <w:rStyle w:val="InternetLink"/>
                  <w:rFonts w:ascii="Times New Roman;serif" w:hAnsi="Times New Roman;serif"/>
                  <w:b w:val="false"/>
                  <w:color w:val="0000FF"/>
                  <w:sz w:val="20"/>
                  <w:u w:val="single"/>
                </w:rPr>
                <w:t>Certification of Principal Financial Officer Pursuant to 18 U.S.C. Section 1350, as Adopted Pursuant to Section 906 of the Sarbanes-Oxley Act of 2002.</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90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XBRL tags are embedded within the Inline XBRL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90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90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90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90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90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0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707" w:type="dxa"/>
        <w:jc w:val="left"/>
        <w:tblInd w:w="0" w:type="dxa"/>
        <w:tblLayout w:type="fixed"/>
        <w:tblCellMar>
          <w:top w:w="28" w:type="dxa"/>
          <w:left w:w="28" w:type="dxa"/>
          <w:bottom w:w="28" w:type="dxa"/>
          <w:right w:w="28" w:type="dxa"/>
        </w:tblCellMar>
      </w:tblPr>
      <w:tblGrid>
        <w:gridCol w:w="124"/>
        <w:gridCol w:w="109"/>
        <w:gridCol w:w="109"/>
        <w:gridCol w:w="400"/>
        <w:gridCol w:w="400"/>
        <w:gridCol w:w="56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Certain of the schedules and exhibits to the agreement have been omitted pursuant to Item 601(a)(5) of Regulation S-K. A copy of any omitted schedule or exhibit will be furnished to the U.S. Securities and Exchange Commission upon request.</w:t>
            </w:r>
          </w:p>
        </w:tc>
      </w:tr>
    </w:tbl>
    <w:tbl>
      <w:tblPr>
        <w:tblW w:w="4857" w:type="dxa"/>
        <w:jc w:val="left"/>
        <w:tblInd w:w="0" w:type="dxa"/>
        <w:tblLayout w:type="fixed"/>
        <w:tblCellMar>
          <w:top w:w="28" w:type="dxa"/>
          <w:left w:w="28" w:type="dxa"/>
          <w:bottom w:w="28" w:type="dxa"/>
          <w:right w:w="28" w:type="dxa"/>
        </w:tblCellMar>
      </w:tblPr>
      <w:tblGrid>
        <w:gridCol w:w="124"/>
        <w:gridCol w:w="109"/>
        <w:gridCol w:w="109"/>
        <w:gridCol w:w="1322"/>
        <w:gridCol w:w="1322"/>
        <w:gridCol w:w="187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Indicates management contract or compensatory plan.</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thereto duly authorized.</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Date: May 14, 2026</w:t>
      </w:r>
    </w:p>
    <w:tbl>
      <w:tblPr>
        <w:tblW w:w="3620" w:type="dxa"/>
        <w:jc w:val="right"/>
        <w:tblInd w:w="0" w:type="dxa"/>
        <w:tblLayout w:type="fixed"/>
        <w:tblCellMar>
          <w:top w:w="28" w:type="dxa"/>
          <w:left w:w="28" w:type="dxa"/>
          <w:bottom w:w="28" w:type="dxa"/>
          <w:right w:w="28" w:type="dxa"/>
        </w:tblCellMar>
      </w:tblPr>
      <w:tblGrid>
        <w:gridCol w:w="201"/>
        <w:gridCol w:w="177"/>
        <w:gridCol w:w="177"/>
        <w:gridCol w:w="177"/>
        <w:gridCol w:w="177"/>
        <w:gridCol w:w="177"/>
        <w:gridCol w:w="741"/>
        <w:gridCol w:w="741"/>
        <w:gridCol w:w="1052"/>
      </w:tblGrid>
      <w:tr>
        <w:trPr/>
        <w:tc>
          <w:tcPr>
            <w:tcW w:w="2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r>
      <w:tr>
        <w:trPr/>
        <w:tc>
          <w:tcPr>
            <w:tcW w:w="3620"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LEGENCE CORP. </w:t>
            </w:r>
          </w:p>
        </w:tc>
      </w:tr>
      <w:tr>
        <w:trPr/>
        <w:tc>
          <w:tcPr>
            <w:tcW w:w="10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6"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Stephen Butz</w:t>
            </w:r>
          </w:p>
        </w:tc>
      </w:tr>
      <w:tr>
        <w:trPr/>
        <w:tc>
          <w:tcPr>
            <w:tcW w:w="10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Stephen Butz</w:t>
            </w:r>
          </w:p>
        </w:tc>
      </w:tr>
      <w:tr>
        <w:trPr/>
        <w:tc>
          <w:tcPr>
            <w:tcW w:w="10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r>
        <w:trPr/>
        <w:tc>
          <w:tcPr>
            <w:tcW w:w="10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6"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Philippe Le Bris</w:t>
            </w:r>
          </w:p>
        </w:tc>
      </w:tr>
      <w:tr>
        <w:trPr/>
        <w:tc>
          <w:tcPr>
            <w:tcW w:w="10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Philippe Le Bris</w:t>
            </w:r>
          </w:p>
        </w:tc>
      </w:tr>
      <w:tr>
        <w:trPr/>
        <w:tc>
          <w:tcPr>
            <w:tcW w:w="10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Chief Accounting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10.4</w:t>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40" w:before="0" w:after="0"/>
        <w:jc w:val="right"/>
        <w:rPr>
          <w:rFonts w:ascii="Times New Roman;serif" w:hAnsi="Times New Roman;serif"/>
          <w:b/>
          <w:i/>
          <w:color w:val="000000"/>
          <w:sz w:val="24"/>
        </w:rPr>
      </w:pPr>
      <w:r>
        <w:rPr>
          <w:rFonts w:ascii="Times New Roman;serif" w:hAnsi="Times New Roman;serif"/>
          <w:b/>
          <w:i/>
          <w:color w:val="000000"/>
          <w:sz w:val="24"/>
        </w:rPr>
        <w:t>Form</w: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LEGENCE CORP.</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2025 OMNIBUS INCENTIVE PLAN</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STOCK OPTION GRANT NOTICE</w:t>
      </w:r>
    </w:p>
    <w:p>
      <w:pPr>
        <w:pStyle w:val="TextBody"/>
        <w:bidi w:val="0"/>
        <w:spacing w:lineRule="auto" w:line="288" w:before="0" w:after="240"/>
        <w:ind w:left="0" w:right="0" w:firstLine="720"/>
        <w:jc w:val="both"/>
        <w:rPr/>
      </w:pPr>
      <w:r>
        <w:rPr>
          <w:rFonts w:ascii="Times New Roman;serif" w:hAnsi="Times New Roman;serif"/>
          <w:b w:val="false"/>
          <w:color w:val="000000"/>
          <w:sz w:val="24"/>
        </w:rPr>
        <w:t>Pursuant to the terms and conditions of the Legence Corp. 2025 Omnibus Incentive Plan, as amended from time to time (the “</w:t>
      </w:r>
      <w:r>
        <w:rPr>
          <w:rFonts w:ascii="Times New Roman;serif" w:hAnsi="Times New Roman;serif"/>
          <w:b/>
          <w:color w:val="000000"/>
          <w:sz w:val="24"/>
          <w:u w:val="single"/>
        </w:rPr>
        <w:t>Plan</w:t>
      </w:r>
      <w:r>
        <w:rPr>
          <w:color w:val="000000"/>
        </w:rPr>
        <w:t>”</w:t>
      </w:r>
      <w:r>
        <w:rPr>
          <w:rFonts w:ascii="Times New Roman;serif" w:hAnsi="Times New Roman;serif"/>
          <w:b w:val="false"/>
          <w:color w:val="000000"/>
          <w:sz w:val="24"/>
        </w:rPr>
        <w:t>), Legence Corp., a Delaware corporation (the “</w:t>
      </w:r>
      <w:r>
        <w:rPr>
          <w:rFonts w:ascii="Times New Roman;serif" w:hAnsi="Times New Roman;serif"/>
          <w:b/>
          <w:color w:val="000000"/>
          <w:sz w:val="24"/>
          <w:u w:val="single"/>
        </w:rPr>
        <w:t>Company</w:t>
      </w:r>
      <w:r>
        <w:rPr>
          <w:color w:val="000000"/>
        </w:rPr>
        <w:t>”</w:t>
      </w:r>
      <w:r>
        <w:rPr>
          <w:rFonts w:ascii="Times New Roman;serif" w:hAnsi="Times New Roman;serif"/>
          <w:b w:val="false"/>
          <w:color w:val="000000"/>
          <w:sz w:val="24"/>
        </w:rPr>
        <w:t>), hereby grants to the individual listed below (“</w:t>
      </w:r>
      <w:r>
        <w:rPr>
          <w:rFonts w:ascii="Times New Roman;serif" w:hAnsi="Times New Roman;serif"/>
          <w:b/>
          <w:color w:val="000000"/>
          <w:sz w:val="24"/>
          <w:u w:val="single"/>
        </w:rPr>
        <w:t>you</w:t>
      </w:r>
      <w:r>
        <w:rPr>
          <w:color w:val="000000"/>
        </w:rPr>
        <w:t xml:space="preserve">” </w:t>
      </w:r>
      <w:r>
        <w:rPr>
          <w:rFonts w:ascii="Times New Roman;serif" w:hAnsi="Times New Roman;serif"/>
          <w:b w:val="false"/>
          <w:color w:val="000000"/>
          <w:sz w:val="24"/>
        </w:rPr>
        <w:t>or the “</w:t>
      </w:r>
      <w:r>
        <w:rPr>
          <w:rFonts w:ascii="Times New Roman;serif" w:hAnsi="Times New Roman;serif"/>
          <w:b/>
          <w:color w:val="000000"/>
          <w:sz w:val="24"/>
          <w:u w:val="single"/>
        </w:rPr>
        <w:t>Participant</w:t>
      </w:r>
      <w:r>
        <w:rPr>
          <w:color w:val="000000"/>
        </w:rPr>
        <w:t>”</w:t>
      </w:r>
      <w:r>
        <w:rPr>
          <w:rFonts w:ascii="Times New Roman;serif" w:hAnsi="Times New Roman;serif"/>
          <w:b w:val="false"/>
          <w:color w:val="000000"/>
          <w:sz w:val="24"/>
        </w:rPr>
        <w:t>) the right and option to purchase all or any part of the number of Shares set forth below (the “</w:t>
      </w:r>
      <w:r>
        <w:rPr>
          <w:rFonts w:ascii="Times New Roman;serif" w:hAnsi="Times New Roman;serif"/>
          <w:b/>
          <w:color w:val="000000"/>
          <w:sz w:val="24"/>
          <w:u w:val="single"/>
        </w:rPr>
        <w:t>Option</w:t>
      </w:r>
      <w:r>
        <w:rPr>
          <w:color w:val="000000"/>
        </w:rPr>
        <w:t>”</w:t>
      </w:r>
      <w:r>
        <w:rPr>
          <w:rFonts w:ascii="Times New Roman;serif" w:hAnsi="Times New Roman;serif"/>
          <w:b w:val="false"/>
          <w:color w:val="000000"/>
          <w:sz w:val="24"/>
        </w:rPr>
        <w:t>). This Option award (this “</w:t>
      </w:r>
      <w:r>
        <w:rPr>
          <w:rFonts w:ascii="Times New Roman;serif" w:hAnsi="Times New Roman;serif"/>
          <w:b/>
          <w:color w:val="000000"/>
          <w:sz w:val="24"/>
          <w:u w:val="single"/>
        </w:rPr>
        <w:t>Award</w:t>
      </w:r>
      <w:r>
        <w:rPr>
          <w:color w:val="000000"/>
        </w:rPr>
        <w:t>”</w:t>
      </w:r>
      <w:r>
        <w:rPr>
          <w:rFonts w:ascii="Times New Roman;serif" w:hAnsi="Times New Roman;serif"/>
          <w:b w:val="false"/>
          <w:color w:val="000000"/>
          <w:sz w:val="24"/>
        </w:rPr>
        <w:t xml:space="preserve">) is subject to the terms and conditions set forth herein and in the Stock Option Agreement attached hereto as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(the “</w:t>
      </w:r>
      <w:r>
        <w:rPr>
          <w:rFonts w:ascii="Times New Roman;serif" w:hAnsi="Times New Roman;serif"/>
          <w:b/>
          <w:color w:val="000000"/>
          <w:sz w:val="24"/>
          <w:u w:val="single"/>
        </w:rPr>
        <w:t>Agreement</w:t>
      </w:r>
      <w:r>
        <w:rPr>
          <w:color w:val="000000"/>
        </w:rPr>
        <w:t>”</w:t>
      </w:r>
      <w:r>
        <w:rPr>
          <w:rFonts w:ascii="Times New Roman;serif" w:hAnsi="Times New Roman;serif"/>
          <w:b w:val="false"/>
          <w:color w:val="000000"/>
          <w:sz w:val="24"/>
        </w:rPr>
        <w:t>) and the Plan, each of which is incorporated herein by reference. Capitalized terms used but not defined herein shall have the meanings set forth in the Plan.</w:t>
      </w:r>
    </w:p>
    <w:tbl>
      <w:tblPr>
        <w:tblW w:w="10205" w:type="dxa"/>
        <w:jc w:val="left"/>
        <w:tblInd w:w="0" w:type="dxa"/>
        <w:tblLayout w:type="fixed"/>
        <w:tblCellMar>
          <w:top w:w="28" w:type="dxa"/>
          <w:left w:w="28" w:type="dxa"/>
          <w:bottom w:w="28" w:type="dxa"/>
          <w:right w:w="28" w:type="dxa"/>
        </w:tblCellMar>
      </w:tblPr>
      <w:tblGrid>
        <w:gridCol w:w="1122"/>
        <w:gridCol w:w="671"/>
        <w:gridCol w:w="555"/>
        <w:gridCol w:w="1619"/>
        <w:gridCol w:w="668"/>
        <w:gridCol w:w="668"/>
        <w:gridCol w:w="668"/>
        <w:gridCol w:w="668"/>
        <w:gridCol w:w="668"/>
        <w:gridCol w:w="1253"/>
        <w:gridCol w:w="668"/>
        <w:gridCol w:w="977"/>
      </w:tblGrid>
      <w:tr>
        <w:trPr/>
        <w:tc>
          <w:tcPr>
            <w:tcW w:w="1122"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r>
      <w:tr>
        <w:trPr/>
        <w:tc>
          <w:tcPr>
            <w:tcW w:w="23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Type of Option:</w:t>
            </w:r>
          </w:p>
        </w:tc>
        <w:tc>
          <w:tcPr>
            <w:tcW w:w="7857" w:type="dxa"/>
            <w:gridSpan w:val="9"/>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Non-Qualified Stock Option</w:t>
            </w:r>
          </w:p>
        </w:tc>
      </w:tr>
      <w:tr>
        <w:trPr/>
        <w:tc>
          <w:tcPr>
            <w:tcW w:w="23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Participant:</w:t>
            </w:r>
          </w:p>
        </w:tc>
        <w:tc>
          <w:tcPr>
            <w:tcW w:w="7857" w:type="dxa"/>
            <w:gridSpan w:val="9"/>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[NAME]</w:t>
            </w:r>
          </w:p>
        </w:tc>
      </w:tr>
      <w:tr>
        <w:trPr/>
        <w:tc>
          <w:tcPr>
            <w:tcW w:w="23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Date of Grant:</w:t>
            </w:r>
          </w:p>
        </w:tc>
        <w:tc>
          <w:tcPr>
            <w:tcW w:w="7857" w:type="dxa"/>
            <w:gridSpan w:val="9"/>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23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Vesting Commencement Date:</w:t>
            </w:r>
          </w:p>
        </w:tc>
        <w:tc>
          <w:tcPr>
            <w:tcW w:w="7857" w:type="dxa"/>
            <w:gridSpan w:val="9"/>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23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Total Number of Shares Subject to this Option:</w:t>
            </w:r>
          </w:p>
        </w:tc>
        <w:tc>
          <w:tcPr>
            <w:tcW w:w="7857" w:type="dxa"/>
            <w:gridSpan w:val="9"/>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 Shares</w:t>
            </w:r>
          </w:p>
        </w:tc>
      </w:tr>
      <w:tr>
        <w:trPr/>
        <w:tc>
          <w:tcPr>
            <w:tcW w:w="23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Exercise Price:</w:t>
            </w:r>
          </w:p>
        </w:tc>
        <w:tc>
          <w:tcPr>
            <w:tcW w:w="7857" w:type="dxa"/>
            <w:gridSpan w:val="9"/>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 per Share</w:t>
            </w:r>
          </w:p>
        </w:tc>
      </w:tr>
      <w:tr>
        <w:trPr/>
        <w:tc>
          <w:tcPr>
            <w:tcW w:w="23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Expiration Date:</w:t>
            </w:r>
          </w:p>
        </w:tc>
        <w:tc>
          <w:tcPr>
            <w:tcW w:w="7857" w:type="dxa"/>
            <w:gridSpan w:val="9"/>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234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Vesting Schedule:</w:t>
            </w:r>
          </w:p>
        </w:tc>
        <w:tc>
          <w:tcPr>
            <w:tcW w:w="7857" w:type="dxa"/>
            <w:gridSpan w:val="9"/>
            <w:tcBorders/>
            <w:tcMar>
              <w:top w:w="0" w:type="dxa"/>
              <w:left w:w="0" w:type="dxa"/>
              <w:bottom w:w="0" w:type="dxa"/>
              <w:right w:w="0" w:type="dxa"/>
            </w:tcMar>
            <w:vAlign w:val="center"/>
          </w:tcPr>
          <w:p>
            <w:pPr>
              <w:pStyle w:val="TableContents"/>
              <w:bidi w:val="0"/>
              <w:spacing w:lineRule="auto" w:line="288" w:before="0" w:after="240"/>
              <w:jc w:val="both"/>
              <w:rPr/>
            </w:pPr>
            <w:r>
              <w:rPr>
                <w:rFonts w:ascii="Times New Roman;serif" w:hAnsi="Times New Roman;serif"/>
                <w:b w:val="false"/>
                <w:color w:val="000000"/>
                <w:sz w:val="24"/>
              </w:rPr>
              <w:t xml:space="preserve">Subject to </w:t>
            </w:r>
            <w:r>
              <w:rPr>
                <w:rFonts w:ascii="Times New Roman;serif" w:hAnsi="Times New Roman;serif"/>
                <w:b w:val="false"/>
                <w:color w:val="000000"/>
                <w:sz w:val="24"/>
                <w:u w:val="single"/>
              </w:rPr>
              <w:t>Section 3</w:t>
            </w:r>
            <w:r>
              <w:rPr>
                <w:color w:val="000000"/>
              </w:rPr>
              <w:t xml:space="preserve"> </w:t>
            </w:r>
            <w:r>
              <w:rPr>
                <w:rFonts w:ascii="Times New Roman;serif" w:hAnsi="Times New Roman;serif"/>
                <w:b w:val="false"/>
                <w:color w:val="000000"/>
                <w:sz w:val="24"/>
              </w:rPr>
              <w:t>of the Agreement, the Plan and the other terms and conditions set forth herein, the Option shall vest according to the following schedule, so long as you remain continuously employed by the Company or an Affiliate from the Date of Grant through each such vesting date:</w:t>
            </w:r>
          </w:p>
        </w:tc>
      </w:tr>
      <w:tr>
        <w:trPr/>
        <w:tc>
          <w:tcPr>
            <w:tcW w:w="2348" w:type="dxa"/>
            <w:gridSpan w:val="3"/>
            <w:vMerge w:val="continue"/>
            <w:tcBorders/>
            <w:tcMar>
              <w:top w:w="0" w:type="dxa"/>
              <w:left w:w="0" w:type="dxa"/>
              <w:bottom w:w="0" w:type="dxa"/>
              <w:right w:w="0" w:type="dxa"/>
            </w:tcMar>
            <w:vAlign w:val="center"/>
          </w:tcPr>
          <w:p>
            <w:pPr>
              <w:pStyle w:val="Normal"/>
              <w:bidi w:val="0"/>
              <w:jc w:val="left"/>
              <w:rPr/>
            </w:pPr>
            <w:r>
              <w:rPr/>
            </w:r>
          </w:p>
        </w:tc>
        <w:tc>
          <w:tcPr>
            <w:tcW w:w="2955"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24"/>
              </w:rPr>
            </w:pPr>
            <w:r>
              <w:rPr>
                <w:rFonts w:ascii="Times New Roman;serif" w:hAnsi="Times New Roman;serif"/>
                <w:b/>
                <w:color w:val="000000"/>
                <w:sz w:val="24"/>
              </w:rPr>
              <w:t>Vesting Date</w:t>
            </w:r>
          </w:p>
        </w:tc>
        <w:tc>
          <w:tcPr>
            <w:tcW w:w="2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8"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24"/>
              </w:rPr>
            </w:pPr>
            <w:r>
              <w:rPr>
                <w:rFonts w:ascii="Times New Roman;serif" w:hAnsi="Times New Roman;serif"/>
                <w:b/>
                <w:color w:val="000000"/>
                <w:sz w:val="24"/>
              </w:rPr>
              <w:t>Percentage of Option That Vests</w:t>
            </w:r>
          </w:p>
        </w:tc>
      </w:tr>
      <w:tr>
        <w:trPr/>
        <w:tc>
          <w:tcPr>
            <w:tcW w:w="2348" w:type="dxa"/>
            <w:gridSpan w:val="3"/>
            <w:vMerge w:val="continue"/>
            <w:tcBorders/>
            <w:tcMar>
              <w:top w:w="0" w:type="dxa"/>
              <w:left w:w="0" w:type="dxa"/>
              <w:bottom w:w="0" w:type="dxa"/>
              <w:right w:w="0" w:type="dxa"/>
            </w:tcMar>
            <w:vAlign w:val="center"/>
          </w:tcPr>
          <w:p>
            <w:pPr>
              <w:pStyle w:val="Normal"/>
              <w:bidi w:val="0"/>
              <w:jc w:val="left"/>
              <w:rPr/>
            </w:pPr>
            <w:r>
              <w:rPr/>
            </w:r>
          </w:p>
        </w:tc>
        <w:tc>
          <w:tcPr>
            <w:tcW w:w="2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24"/>
              </w:rPr>
            </w:pPr>
            <w:r>
              <w:rPr>
                <w:rFonts w:ascii="Times New Roman;serif" w:hAnsi="Times New Roman;serif"/>
                <w:b w:val="false"/>
                <w:color w:val="000000"/>
                <w:sz w:val="24"/>
              </w:rPr>
              <w:t>First Anniversary of the Vesting Commencement Date</w:t>
            </w:r>
          </w:p>
        </w:tc>
        <w:tc>
          <w:tcPr>
            <w:tcW w:w="2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24"/>
              </w:rPr>
            </w:pPr>
            <w:r>
              <w:rPr>
                <w:rFonts w:ascii="Times New Roman;serif" w:hAnsi="Times New Roman;serif"/>
                <w:b/>
                <w:color w:val="000000"/>
                <w:sz w:val="24"/>
              </w:rPr>
              <w:t>33.33%</w:t>
            </w:r>
          </w:p>
        </w:tc>
      </w:tr>
      <w:tr>
        <w:trPr/>
        <w:tc>
          <w:tcPr>
            <w:tcW w:w="2348" w:type="dxa"/>
            <w:gridSpan w:val="3"/>
            <w:vMerge w:val="continue"/>
            <w:tcBorders/>
            <w:tcMar>
              <w:top w:w="0" w:type="dxa"/>
              <w:left w:w="0" w:type="dxa"/>
              <w:bottom w:w="0" w:type="dxa"/>
              <w:right w:w="0" w:type="dxa"/>
            </w:tcMar>
            <w:vAlign w:val="center"/>
          </w:tcPr>
          <w:p>
            <w:pPr>
              <w:pStyle w:val="Normal"/>
              <w:bidi w:val="0"/>
              <w:jc w:val="left"/>
              <w:rPr/>
            </w:pPr>
            <w:r>
              <w:rPr/>
            </w:r>
          </w:p>
        </w:tc>
        <w:tc>
          <w:tcPr>
            <w:tcW w:w="2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24"/>
              </w:rPr>
            </w:pPr>
            <w:r>
              <w:rPr>
                <w:rFonts w:ascii="Times New Roman;serif" w:hAnsi="Times New Roman;serif"/>
                <w:b w:val="false"/>
                <w:color w:val="000000"/>
                <w:sz w:val="24"/>
              </w:rPr>
              <w:t>Second Anniversary of the Vesting Commencement Date</w:t>
            </w:r>
          </w:p>
        </w:tc>
        <w:tc>
          <w:tcPr>
            <w:tcW w:w="2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24"/>
              </w:rPr>
            </w:pPr>
            <w:r>
              <w:rPr>
                <w:rFonts w:ascii="Times New Roman;serif" w:hAnsi="Times New Roman;serif"/>
                <w:b/>
                <w:color w:val="000000"/>
                <w:sz w:val="24"/>
              </w:rPr>
              <w:t>33.33%</w:t>
            </w:r>
          </w:p>
        </w:tc>
      </w:tr>
      <w:tr>
        <w:trPr/>
        <w:tc>
          <w:tcPr>
            <w:tcW w:w="2348" w:type="dxa"/>
            <w:gridSpan w:val="3"/>
            <w:vMerge w:val="continue"/>
            <w:tcBorders/>
            <w:tcMar>
              <w:top w:w="0" w:type="dxa"/>
              <w:left w:w="0" w:type="dxa"/>
              <w:bottom w:w="0" w:type="dxa"/>
              <w:right w:w="0" w:type="dxa"/>
            </w:tcMar>
            <w:vAlign w:val="center"/>
          </w:tcPr>
          <w:p>
            <w:pPr>
              <w:pStyle w:val="Normal"/>
              <w:bidi w:val="0"/>
              <w:jc w:val="left"/>
              <w:rPr/>
            </w:pPr>
            <w:r>
              <w:rPr/>
            </w:r>
          </w:p>
        </w:tc>
        <w:tc>
          <w:tcPr>
            <w:tcW w:w="295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24"/>
              </w:rPr>
            </w:pPr>
            <w:r>
              <w:rPr>
                <w:rFonts w:ascii="Times New Roman;serif" w:hAnsi="Times New Roman;serif"/>
                <w:b w:val="false"/>
                <w:color w:val="000000"/>
                <w:sz w:val="24"/>
              </w:rPr>
              <w:t>Third Anniversary of the Vesting Commencement Date</w:t>
            </w:r>
          </w:p>
        </w:tc>
        <w:tc>
          <w:tcPr>
            <w:tcW w:w="2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40"/>
              <w:jc w:val="center"/>
              <w:rPr>
                <w:rFonts w:ascii="Times New Roman;serif" w:hAnsi="Times New Roman;serif"/>
                <w:b/>
                <w:color w:val="000000"/>
                <w:sz w:val="24"/>
              </w:rPr>
            </w:pPr>
            <w:r>
              <w:rPr>
                <w:rFonts w:ascii="Times New Roman;serif" w:hAnsi="Times New Roman;serif"/>
                <w:b/>
                <w:color w:val="000000"/>
                <w:sz w:val="24"/>
              </w:rPr>
              <w:t>33.34%</w:t>
            </w:r>
          </w:p>
        </w:tc>
      </w:tr>
    </w:tbl>
    <w:p>
      <w:pPr>
        <w:pStyle w:val="TextBody"/>
        <w:bidi w:val="0"/>
        <w:spacing w:before="0" w:after="0"/>
        <w:jc w:val="both"/>
        <w:rPr/>
      </w:pPr>
      <w:r>
        <w:rPr/>
      </w:r>
    </w:p>
    <w:p>
      <w:pPr>
        <w:pStyle w:val="TextBody"/>
        <w:bidi w:val="0"/>
        <w:spacing w:lineRule="auto" w:line="288" w:before="0" w:after="240"/>
        <w:ind w:left="0" w:right="0" w:firstLine="720"/>
        <w:jc w:val="both"/>
        <w:rPr/>
      </w:pPr>
      <w:r>
        <w:rPr>
          <w:rFonts w:ascii="Times New Roman;serif" w:hAnsi="Times New Roman;serif"/>
          <w:b w:val="false"/>
          <w:color w:val="000000"/>
          <w:sz w:val="24"/>
        </w:rPr>
        <w:t>By your signature below, you agree to be bound by the terms and conditions of the Plan, the Agreement and this Stock Option Grant Notice (this “</w:t>
      </w:r>
      <w:r>
        <w:rPr>
          <w:rFonts w:ascii="Times New Roman;serif" w:hAnsi="Times New Roman;serif"/>
          <w:b/>
          <w:color w:val="000000"/>
          <w:sz w:val="24"/>
          <w:u w:val="single"/>
        </w:rPr>
        <w:t>Grant Notice</w:t>
      </w:r>
      <w:r>
        <w:rPr>
          <w:color w:val="000000"/>
        </w:rPr>
        <w:t>”</w:t>
      </w:r>
      <w:r>
        <w:rPr>
          <w:rFonts w:ascii="Times New Roman;serif" w:hAnsi="Times New Roman;serif"/>
          <w:b w:val="false"/>
          <w:color w:val="000000"/>
          <w:sz w:val="24"/>
        </w:rPr>
        <w:t xml:space="preserve">). You acknowledge that you have reviewed the Agreement, the Plan and this Grant Notice in their entirety and fully understand all provisions of the Agreement, the Plan and this Grant Notice and have had an opportunity to obtain the advice of counsel prior to executing this Grant Notice. You hereby agree to accept as binding, conclusive and final all decisions or interpretations of the Committee </w:t>
      </w:r>
    </w:p>
    <w:p>
      <w:pPr>
        <w:pStyle w:val="TextBody"/>
        <w:bidi w:val="0"/>
        <w:spacing w:before="0" w:after="0"/>
        <w:jc w:val="both"/>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50520"/>
                <wp:effectExtent l="0" t="0" r="0" b="0"/>
                <wp:wrapNone/>
                <wp:docPr id="55" name="Frame5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both"/>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regarding any questions or determinations arising under the Agreement, the Plan or this Grant Notice. This Grant Notice may be executed in one or more counterparts (including portable document format (.pdf) and facsimile counterparts), each of which shall be deemed to be an original, but all of which together shall constitute one and the same agreement.</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Notwithstanding any provision of this Grant Notice or the Agreement, if you have not executed and delivered to the Company this Grant Notice within 90 days following the Date of Grant, then this Award will terminate automatically without any further action by the Company and will be forfeited without further notice and at no cost to the Company, unless otherwise determined by the Committee. </w:t>
      </w:r>
    </w:p>
    <w:p>
      <w:pPr>
        <w:pStyle w:val="TextBody"/>
        <w:bidi w:val="0"/>
        <w:spacing w:before="0" w:after="0"/>
        <w:jc w:val="center"/>
        <w:rPr/>
      </w:pPr>
      <w:r>
        <w:rPr/>
      </w:r>
    </w:p>
    <w:p>
      <w:pPr>
        <w:pStyle w:val="TextBody"/>
        <w:bidi w:val="0"/>
        <w:spacing w:lineRule="auto" w:line="288" w:before="0" w:after="240"/>
        <w:jc w:val="center"/>
        <w:rPr/>
      </w:pPr>
      <w:r>
        <w:rPr>
          <w:rFonts w:ascii="Times New Roman;serif" w:hAnsi="Times New Roman;serif"/>
          <w:b/>
          <w:i/>
          <w:color w:val="000000"/>
          <w:sz w:val="24"/>
        </w:rPr>
        <w:t>[Signature Page Follows]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480"/>
        <w:ind w:left="0" w:right="0" w:firstLine="720"/>
        <w:jc w:val="both"/>
        <w:rPr/>
      </w:pPr>
      <w:r>
        <w:rPr>
          <w:rFonts w:ascii="Times New Roman;serif" w:hAnsi="Times New Roman;serif"/>
          <w:b/>
          <w:color w:val="000000"/>
          <w:sz w:val="24"/>
        </w:rPr>
        <w:t>IN WITNESS WHEREOF</w:t>
      </w:r>
      <w:r>
        <w:rPr>
          <w:rFonts w:ascii="Times New Roman;serif" w:hAnsi="Times New Roman;serif"/>
          <w:b w:val="false"/>
          <w:color w:val="000000"/>
          <w:sz w:val="24"/>
        </w:rPr>
        <w:t>, the Company has caused this Grant Notice to be executed by an officer thereunto duly authorized, and the Participant has executed this Grant Notice, effective for all purposes as provided above.</w:t>
      </w:r>
    </w:p>
    <w:p>
      <w:pPr>
        <w:pStyle w:val="TextBody"/>
        <w:bidi w:val="0"/>
        <w:spacing w:lineRule="auto" w:line="288" w:before="0" w:after="0"/>
        <w:jc w:val="both"/>
        <w:rPr/>
      </w:pPr>
      <w:r>
        <w:rPr>
          <w:color w:val="000000"/>
        </w:rPr>
        <w:t>    </w:t>
      </w:r>
      <w:r>
        <w:rPr>
          <w:rFonts w:ascii="Times New Roman;serif" w:hAnsi="Times New Roman;serif"/>
          <w:b/>
          <w:color w:val="000000"/>
          <w:sz w:val="24"/>
        </w:rPr>
        <w:t>LEGENCE CORP.</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color w:val="000000"/>
        </w:rPr>
        <w:t>    </w:t>
      </w:r>
      <w:r>
        <w:rPr>
          <w:color w:val="000000"/>
          <w:u w:val="single"/>
        </w:rPr>
        <w:t>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By: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Name:</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Title:</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color w:val="000000"/>
          <w:sz w:val="24"/>
        </w:rPr>
        <w:t>PARTICIPANT</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color w:val="000000"/>
        </w:rPr>
        <w:t>    </w:t>
      </w:r>
      <w:r>
        <w:rPr>
          <w:color w:val="000000"/>
          <w:u w:val="single"/>
        </w:rPr>
        <w:t>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Name: [NAME]</w:t>
      </w:r>
    </w:p>
    <w:p>
      <w:pPr>
        <w:pStyle w:val="TextBody"/>
        <w:bidi w:val="0"/>
        <w:spacing w:before="0" w:after="24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53060"/>
                <wp:effectExtent l="0" t="0" r="0" b="0"/>
                <wp:wrapNone/>
                <wp:docPr id="57" name="Frame57"/>
                <a:graphic xmlns:a="http://schemas.openxmlformats.org/drawingml/2006/main">
                  <a:graphicData uri="http://schemas.microsoft.com/office/word/2010/wordprocessingShape">
                    <wps:wsp>
                      <wps:cNvSpPr txBox="1"/>
                      <wps:spPr>
                        <a:xfrm>
                          <a:off x="0" y="0"/>
                          <a:ext cx="6480175" cy="3530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w:t>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Stock Option Grant Notice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Stock Option Grant Notice</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EXHIBIT A</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STOCK OPTION AGREEMENT</w:t>
      </w:r>
    </w:p>
    <w:p>
      <w:pPr>
        <w:pStyle w:val="TextBody"/>
        <w:bidi w:val="0"/>
        <w:spacing w:before="0" w:after="0"/>
        <w:jc w:val="center"/>
        <w:rPr/>
      </w:pPr>
      <w:r>
        <w:rPr/>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Stock Option Agreement (together with the Grant Notice to which this Agreement is attached, this “</w:t>
      </w:r>
      <w:r>
        <w:rPr>
          <w:rFonts w:ascii="Times New Roman;serif" w:hAnsi="Times New Roman;serif"/>
          <w:b/>
          <w:color w:val="000000"/>
          <w:sz w:val="24"/>
          <w:u w:val="single"/>
        </w:rPr>
        <w:t>Agreement</w:t>
      </w:r>
      <w:r>
        <w:rPr>
          <w:color w:val="000000"/>
        </w:rPr>
        <w:t>”</w:t>
      </w:r>
      <w:r>
        <w:rPr>
          <w:rFonts w:ascii="Times New Roman;serif" w:hAnsi="Times New Roman;serif"/>
          <w:b w:val="false"/>
          <w:color w:val="000000"/>
          <w:sz w:val="24"/>
        </w:rPr>
        <w:t>) is made as of the Date of Grant set forth in the Grant Notice to which this Agreement is attached by and between Legence Corp., a Delaware corporation (the “</w:t>
      </w:r>
      <w:r>
        <w:rPr>
          <w:rFonts w:ascii="Times New Roman;serif" w:hAnsi="Times New Roman;serif"/>
          <w:b/>
          <w:color w:val="000000"/>
          <w:sz w:val="24"/>
          <w:u w:val="single"/>
        </w:rPr>
        <w:t>Company</w:t>
      </w:r>
      <w:r>
        <w:rPr>
          <w:color w:val="000000"/>
        </w:rPr>
        <w:t>”</w:t>
      </w:r>
      <w:r>
        <w:rPr>
          <w:rFonts w:ascii="Times New Roman;serif" w:hAnsi="Times New Roman;serif"/>
          <w:b w:val="false"/>
          <w:color w:val="000000"/>
          <w:sz w:val="24"/>
        </w:rPr>
        <w:t>), and [NAME] (the “</w:t>
      </w:r>
      <w:r>
        <w:rPr>
          <w:rFonts w:ascii="Times New Roman;serif" w:hAnsi="Times New Roman;serif"/>
          <w:b/>
          <w:color w:val="000000"/>
          <w:sz w:val="24"/>
          <w:u w:val="single"/>
        </w:rPr>
        <w:t>Participant</w:t>
      </w:r>
      <w:r>
        <w:rPr>
          <w:color w:val="000000"/>
        </w:rPr>
        <w:t>”</w:t>
      </w:r>
      <w:r>
        <w:rPr>
          <w:rFonts w:ascii="Times New Roman;serif" w:hAnsi="Times New Roman;serif"/>
          <w:b w:val="false"/>
          <w:color w:val="000000"/>
          <w:sz w:val="24"/>
        </w:rPr>
        <w:t>). Capitalized terms used but not specifically defined herein shall have the meanings specified in the Plan or the Grant Notice.</w:t>
      </w:r>
    </w:p>
    <w:p>
      <w:pPr>
        <w:pStyle w:val="TextBody"/>
        <w:bidi w:val="0"/>
        <w:spacing w:lineRule="auto" w:line="288" w:before="0" w:after="240"/>
        <w:ind w:left="0" w:right="0" w:firstLine="720"/>
        <w:jc w:val="both"/>
        <w:rPr/>
      </w:pPr>
      <w:r>
        <w:rPr>
          <w:rFonts w:ascii="Times New Roman;serif" w:hAnsi="Times New Roman;serif"/>
          <w:b/>
          <w:color w:val="000000"/>
          <w:sz w:val="24"/>
        </w:rPr>
        <w:t>1.</w:t>
      </w:r>
      <w:r>
        <w:rPr>
          <w:rFonts w:ascii="Times New Roman;serif" w:hAnsi="Times New Roman;serif"/>
          <w:b/>
          <w:color w:val="000000"/>
          <w:sz w:val="24"/>
          <w:u w:val="single"/>
        </w:rPr>
        <w:t>Award.</w:t>
      </w:r>
      <w:r>
        <w:rPr>
          <w:color w:val="000000"/>
        </w:rPr>
        <w:t xml:space="preserve"> </w:t>
      </w:r>
      <w:r>
        <w:rPr>
          <w:rFonts w:ascii="Times New Roman;serif" w:hAnsi="Times New Roman;serif"/>
          <w:b w:val="false"/>
          <w:color w:val="000000"/>
          <w:sz w:val="24"/>
        </w:rPr>
        <w:t xml:space="preserve">In consideration of the Participant’s continued employment with, or service to, the Company or an Affiliate and for other good and valuable consideration, the receipt and sufficiency of which is hereby acknowledged, effective as of the Date of Grant set forth in the Grant Notice (the “Date of Grant”), the Company hereby grants to the Participant the right and option to purchase all or any part of an aggregate of the number of Shares set forth in the Grant Notice on the terms and conditions set forth in the Grant Notice, this Agreement and the Plan, which is incorporated herein by reference as a part of this Agreement. In the event of any inconsistency between the Plan and this Agreement, the terms of the Plan shall control. </w:t>
      </w:r>
    </w:p>
    <w:p>
      <w:pPr>
        <w:pStyle w:val="TextBody"/>
        <w:bidi w:val="0"/>
        <w:spacing w:lineRule="auto" w:line="288" w:before="0" w:after="240"/>
        <w:ind w:left="0" w:right="0" w:firstLine="720"/>
        <w:jc w:val="both"/>
        <w:rPr/>
      </w:pPr>
      <w:r>
        <w:rPr>
          <w:rFonts w:ascii="Times New Roman;serif" w:hAnsi="Times New Roman;serif"/>
          <w:b/>
          <w:color w:val="000000"/>
          <w:sz w:val="24"/>
        </w:rPr>
        <w:t>2.</w:t>
      </w:r>
      <w:r>
        <w:rPr>
          <w:rFonts w:ascii="Times New Roman;serif" w:hAnsi="Times New Roman;serif"/>
          <w:b/>
          <w:color w:val="000000"/>
          <w:sz w:val="24"/>
          <w:u w:val="single"/>
        </w:rPr>
        <w:t>Exercise Price.</w:t>
      </w:r>
      <w:r>
        <w:rPr>
          <w:color w:val="000000"/>
        </w:rPr>
        <w:t xml:space="preserve"> </w:t>
      </w:r>
      <w:r>
        <w:rPr>
          <w:rFonts w:ascii="Times New Roman;serif" w:hAnsi="Times New Roman;serif"/>
          <w:b w:val="false"/>
          <w:color w:val="000000"/>
          <w:sz w:val="24"/>
        </w:rPr>
        <w:t xml:space="preserve">The exercise price of each Share subject to this Option shall be the exercise price set forth in the Grant Notice (the “Exercise Price”), which has been determined to be not less than the Fair Market Value of a Share at the Date of Grant. </w:t>
      </w:r>
    </w:p>
    <w:p>
      <w:pPr>
        <w:pStyle w:val="TextBody"/>
        <w:bidi w:val="0"/>
        <w:spacing w:lineRule="auto" w:line="288" w:before="0" w:after="240"/>
        <w:jc w:val="both"/>
        <w:rPr/>
      </w:pPr>
      <w:r>
        <w:rPr>
          <w:rFonts w:ascii="Times New Roman;serif" w:hAnsi="Times New Roman;serif"/>
          <w:b/>
          <w:color w:val="000000"/>
          <w:sz w:val="24"/>
        </w:rPr>
        <w:t>3.</w:t>
      </w:r>
      <w:r>
        <w:rPr>
          <w:rFonts w:ascii="Times New Roman;serif" w:hAnsi="Times New Roman;serif"/>
          <w:b/>
          <w:color w:val="000000"/>
          <w:sz w:val="24"/>
          <w:u w:val="single"/>
        </w:rPr>
        <w:t>Vesting</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Except as otherwise set forth in this </w:t>
      </w:r>
      <w:r>
        <w:rPr>
          <w:rFonts w:ascii="Times New Roman;serif" w:hAnsi="Times New Roman;serif"/>
          <w:b w:val="false"/>
          <w:color w:val="000000"/>
          <w:sz w:val="24"/>
          <w:u w:val="single"/>
        </w:rPr>
        <w:t>Section 3</w:t>
      </w:r>
      <w:r>
        <w:rPr>
          <w:color w:val="000000"/>
        </w:rPr>
        <w:t xml:space="preserve"> </w:t>
      </w:r>
      <w:r>
        <w:rPr>
          <w:rFonts w:ascii="Times New Roman;serif" w:hAnsi="Times New Roman;serif"/>
          <w:b w:val="false"/>
          <w:color w:val="000000"/>
          <w:sz w:val="24"/>
        </w:rPr>
        <w:t xml:space="preserve">hereof, the Option shall vest in accordance with the vesting schedule set forth in the Grant Notice. Upon the Participant’s termination of employment prior to the Option vesting in full (but after giving effect to any accelerated vesting pursuant to this </w:t>
      </w:r>
      <w:r>
        <w:rPr>
          <w:rFonts w:ascii="Times New Roman;serif" w:hAnsi="Times New Roman;serif"/>
          <w:b w:val="false"/>
          <w:color w:val="000000"/>
          <w:sz w:val="24"/>
          <w:u w:val="single"/>
        </w:rPr>
        <w:t>Section 3</w:t>
      </w:r>
      <w:r>
        <w:rPr>
          <w:rFonts w:ascii="Times New Roman;serif" w:hAnsi="Times New Roman;serif"/>
          <w:b w:val="false"/>
          <w:color w:val="000000"/>
          <w:sz w:val="24"/>
        </w:rPr>
        <w:t>), the unvested portion of the Option (and all rights arising from such portion and from being a holder thereof) will terminate automatically without any further action by the Company and will be forfeited without further notice and at no cost to the Company.</w: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Notwithstanding anything in the Grant Notice, this Agreement or the Plan to the contrary, subject to </w:t>
      </w:r>
      <w:r>
        <w:rPr>
          <w:rFonts w:ascii="Times New Roman;serif" w:hAnsi="Times New Roman;serif"/>
          <w:b w:val="false"/>
          <w:color w:val="000000"/>
          <w:sz w:val="24"/>
          <w:u w:val="single"/>
        </w:rPr>
        <w:t>Section 10</w:t>
      </w:r>
      <w:r>
        <w:rPr>
          <w:rFonts w:ascii="Times New Roman;serif" w:hAnsi="Times New Roman;serif"/>
          <w:b w:val="false"/>
          <w:color w:val="000000"/>
          <w:sz w:val="24"/>
        </w:rPr>
        <w:t xml:space="preserve">: </w:t>
      </w:r>
    </w:p>
    <w:p>
      <w:pPr>
        <w:pStyle w:val="TextBody"/>
        <w:bidi w:val="0"/>
        <w:spacing w:lineRule="auto" w:line="288" w:before="0" w:after="240"/>
        <w:ind w:left="0" w:right="0" w:firstLine="2160"/>
        <w:jc w:val="both"/>
        <w:rPr/>
      </w:pPr>
      <w:r>
        <w:rPr>
          <w:rFonts w:ascii="Times New Roman;serif" w:hAnsi="Times New Roman;serif"/>
          <w:b w:val="false"/>
          <w:color w:val="000000"/>
          <w:sz w:val="24"/>
        </w:rPr>
        <w:t>(i)</w:t>
      </w:r>
      <w:r>
        <w:rPr>
          <w:rFonts w:ascii="Times New Roman;serif" w:hAnsi="Times New Roman;serif"/>
          <w:b w:val="false"/>
          <w:color w:val="000000"/>
          <w:sz w:val="24"/>
        </w:rPr>
        <w:t xml:space="preserve">upon the Participant’s termination of employment due to the Participant’s death or Disability, any portion of this Option that remains unvested shall become vested as of the date of such termination of employment; </w:t>
      </w:r>
    </w:p>
    <w:p>
      <w:pPr>
        <w:pStyle w:val="TextBody"/>
        <w:bidi w:val="0"/>
        <w:spacing w:lineRule="auto" w:line="288" w:before="0" w:after="240"/>
        <w:ind w:left="0" w:right="0" w:firstLine="2160"/>
        <w:jc w:val="both"/>
        <w:rPr/>
      </w:pPr>
      <w:r>
        <w:rPr>
          <w:rFonts w:ascii="Times New Roman;serif" w:hAnsi="Times New Roman;serif"/>
          <w:b w:val="false"/>
          <w:color w:val="000000"/>
          <w:sz w:val="24"/>
        </w:rPr>
        <w:t>(ii)</w:t>
      </w:r>
      <w:r>
        <w:rPr>
          <w:rFonts w:ascii="Times New Roman;serif" w:hAnsi="Times New Roman;serif"/>
          <w:b w:val="false"/>
          <w:color w:val="000000"/>
          <w:sz w:val="24"/>
        </w:rPr>
        <w:t xml:space="preserve">upon a Change in Control, if this Award is not continued or assumed by, or substituted for a substantially equivalent award of, the successor or survivor entity (as determined in the discretion of the Committee), any portion of this Option that remains unvested shall become vested as of immediately prior to the occurrence of such Change in Control; and </w:t>
      </w:r>
    </w:p>
    <w:p>
      <w:pPr>
        <w:pStyle w:val="TextBody"/>
        <w:bidi w:val="0"/>
        <w:spacing w:before="0" w:after="0"/>
        <w:jc w:val="both"/>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w:t>
                      </w:r>
                    </w:p>
                  </w:txbxContent>
                </v:textbox>
                <w10:wrap type="none"/>
              </v:rect>
            </w:pict>
          </mc:Fallback>
        </mc:AlternateContent>
      </w:r>
    </w:p>
    <w:p>
      <w:pPr>
        <w:pStyle w:val="TextBody"/>
        <w:bidi w:val="0"/>
        <w:spacing w:lineRule="auto" w:line="288" w:before="0" w:after="240"/>
        <w:ind w:left="0" w:right="0" w:firstLine="2160"/>
        <w:jc w:val="both"/>
        <w:rPr/>
      </w:pPr>
      <w:r>
        <w:rPr>
          <w:rFonts w:ascii="Times New Roman;serif" w:hAnsi="Times New Roman;serif"/>
          <w:b w:val="false"/>
          <w:color w:val="000000"/>
          <w:sz w:val="24"/>
        </w:rPr>
        <w:t>(iii)</w:t>
      </w:r>
      <w:r>
        <w:rPr>
          <w:rFonts w:ascii="Times New Roman;serif" w:hAnsi="Times New Roman;serif"/>
          <w:b w:val="false"/>
          <w:color w:val="000000"/>
          <w:sz w:val="24"/>
        </w:rPr>
        <w:t>if this Award is continued or assumed by, or substituted for a substantially equivalent award of, the successor or survivor entity in connection with a Change in Control (as determined in the discretion of the Committee), and the Participant subsequently incurs a Change in Control Qualifying Termination, any portion of this Option (or any award substituted therefor) that remains unvested shall immediately become vested as of the date of such Change in Control Qualifying Termination.</w:t>
      </w:r>
    </w:p>
    <w:p>
      <w:pPr>
        <w:pStyle w:val="TextBody"/>
        <w:bidi w:val="0"/>
        <w:spacing w:lineRule="auto" w:line="288"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For purposes of this Agreement: </w:t>
      </w:r>
    </w:p>
    <w:p>
      <w:pPr>
        <w:pStyle w:val="TextBody"/>
        <w:bidi w:val="0"/>
        <w:spacing w:lineRule="auto" w:line="288" w:before="0" w:after="240"/>
        <w:ind w:left="0" w:right="0" w:firstLine="2160"/>
        <w:jc w:val="both"/>
        <w:rPr/>
      </w:pPr>
      <w:r>
        <w:rPr>
          <w:rFonts w:ascii="Times New Roman;serif" w:hAnsi="Times New Roman;serif"/>
          <w:b w:val="false"/>
          <w:color w:val="000000"/>
          <w:sz w:val="24"/>
        </w:rPr>
        <w:t>(i)</w:t>
      </w:r>
      <w:r>
        <w:rPr>
          <w:color w:val="000000"/>
        </w:rPr>
        <w:t>“</w:t>
      </w:r>
      <w:r>
        <w:rPr>
          <w:rFonts w:ascii="Times New Roman;serif" w:hAnsi="Times New Roman;serif"/>
          <w:b/>
          <w:color w:val="000000"/>
          <w:sz w:val="24"/>
          <w:u w:val="single"/>
        </w:rPr>
        <w:t>Change in Control Qualifying Termination</w:t>
      </w:r>
      <w:r>
        <w:rPr>
          <w:color w:val="000000"/>
        </w:rPr>
        <w:t xml:space="preserve">” </w:t>
      </w:r>
      <w:r>
        <w:rPr>
          <w:rFonts w:ascii="Times New Roman;serif" w:hAnsi="Times New Roman;serif"/>
          <w:b w:val="false"/>
          <w:color w:val="000000"/>
          <w:sz w:val="24"/>
        </w:rPr>
        <w:t>means a Participant’s termination of employment by the Company or an Affiliate without Cause or by the Participant for Good Reason that occurs on or during the two-year period immediately following a Change in Control.</w:t>
      </w:r>
    </w:p>
    <w:p>
      <w:pPr>
        <w:pStyle w:val="TextBody"/>
        <w:bidi w:val="0"/>
        <w:spacing w:lineRule="auto" w:line="288" w:before="0" w:after="240"/>
        <w:ind w:left="0" w:right="0" w:firstLine="2160"/>
        <w:jc w:val="both"/>
        <w:rPr/>
      </w:pPr>
      <w:r>
        <w:rPr>
          <w:rFonts w:ascii="Times New Roman;serif" w:hAnsi="Times New Roman;serif"/>
          <w:b w:val="false"/>
          <w:color w:val="000000"/>
          <w:sz w:val="24"/>
        </w:rPr>
        <w:t>(ii)</w:t>
      </w:r>
      <w:r>
        <w:rPr>
          <w:color w:val="000000"/>
        </w:rPr>
        <w:t>“</w:t>
      </w:r>
      <w:r>
        <w:rPr>
          <w:rFonts w:ascii="Times New Roman;serif" w:hAnsi="Times New Roman;serif"/>
          <w:b/>
          <w:color w:val="000000"/>
          <w:sz w:val="24"/>
          <w:u w:val="single"/>
        </w:rPr>
        <w:t>Good Reason</w:t>
      </w:r>
      <w:r>
        <w:rPr>
          <w:color w:val="000000"/>
        </w:rPr>
        <w:t xml:space="preserve">” </w:t>
      </w:r>
      <w:r>
        <w:rPr>
          <w:rFonts w:ascii="Times New Roman;serif" w:hAnsi="Times New Roman;serif"/>
          <w:b w:val="false"/>
          <w:color w:val="000000"/>
          <w:sz w:val="24"/>
        </w:rPr>
        <w:t>means, with respect to the Participant’s termination of employment, (A) in the case where there is no employment agreement, offer letter, consulting agreement, severance agreement or plan, change in control agreement, or similar agreement or plan in effect between the Company or its Affiliates and the Participant at the time of the termination of employment (or where there is such an agreement or plan in effect, but it does not define “good reason” (or words of like import)), the occurrence of any of the following events without the written consent of the Participant: (1) a material diminution in the Participant’s base salary or target bonus opportunity other than as part of one or more reductions in base salaries or target bonus opportunities that apply equally to each of the members of the Company’s executive leadership team in substantially the same proportions; (2) a material diminution in the Participant’s authority, duties, responsibilities or reporting relationship with the Company or any Affiliate; or (3) the relocation of the geographic location of the Participant’s principal place of employment by more than 50 miles from the location of the Participant’s principal place of employment (including, as applicable, the Participant’s home office if the Participant primarily works remotely) as of immediately prior to the occurrence of the Change in Control; (B) in the case where there is an employment agreement, offer letter, consulting agreement, severance agreement or plan, change in control agreement or similar agreement or plan in effect between the Company or any Affiliate and the Participant at the time of the termination of employment that defines “good reason” (or words of like import), “good reason” as defined under such agreement or plan. Notwithstanding the foregoing provisions of this definition or any other provision of the Plan to the contrary, any assertion by the Participant of a termination for Good Reason shall not be effective unless all of the following conditions are satisfied: (x) such Participant must provide written notice to the Company of the existence of such condition(s) within 30 days after the initial occurrence of such condition(s); (y) the condition(s) specified in such notice must remain uncorrected for 30 days following the Company’s receipt of such written notice; and (z) the date of such Participant’s termination of employment must occur within 90 days after the initial occurrence of the condition(s) specified in such notice.</w:t>
      </w:r>
    </w:p>
    <w:p>
      <w:pPr>
        <w:pStyle w:val="TextBody"/>
        <w:bidi w:val="0"/>
        <w:spacing w:lineRule="auto" w:line="288" w:before="0" w:after="240"/>
        <w:ind w:left="0" w:right="0" w:firstLine="720"/>
        <w:jc w:val="both"/>
        <w:rPr/>
      </w:pPr>
      <w:r>
        <w:rPr>
          <w:rFonts w:ascii="Times New Roman;serif" w:hAnsi="Times New Roman;serif"/>
          <w:b/>
          <w:color w:val="000000"/>
          <w:sz w:val="24"/>
        </w:rPr>
        <w:t>4.</w:t>
      </w:r>
      <w:r>
        <w:rPr>
          <w:rFonts w:ascii="Times New Roman;serif" w:hAnsi="Times New Roman;serif"/>
          <w:b/>
          <w:color w:val="000000"/>
          <w:sz w:val="24"/>
          <w:u w:val="single"/>
        </w:rPr>
        <w:t xml:space="preserve">Exercise of Option. </w:t>
      </w:r>
    </w:p>
    <w:p>
      <w:pPr>
        <w:pStyle w:val="TextBody"/>
        <w:bidi w:val="0"/>
        <w:spacing w:before="0" w:after="0"/>
        <w:jc w:val="both"/>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85445"/>
                <wp:effectExtent l="0" t="0" r="0" b="0"/>
                <wp:wrapNone/>
                <wp:docPr id="59" name="Frame5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Subject to the earlier expiration of this Option as provided herein, this Option may be exercised by (i) providing written notice to the Company in the form prescribed by the Committee from time to time at any time and from time to time after the Date of Grant, which notice shall be delivered to the Company in the form, and in the manner, designated by the Committee from time to time, and (ii) paying the Exercise Price in full in a manner permitted by </w:t>
      </w:r>
      <w:r>
        <w:rPr>
          <w:rFonts w:ascii="Times New Roman;serif" w:hAnsi="Times New Roman;serif"/>
          <w:b w:val="false"/>
          <w:color w:val="000000"/>
          <w:sz w:val="24"/>
          <w:u w:val="single"/>
        </w:rPr>
        <w:t>Section 4(d)</w:t>
      </w:r>
      <w:r>
        <w:rPr>
          <w:rFonts w:ascii="Times New Roman;serif" w:hAnsi="Times New Roman;serif"/>
          <w:b w:val="false"/>
          <w:color w:val="000000"/>
          <w:sz w:val="24"/>
        </w:rPr>
        <w:t xml:space="preserve">;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this Option shall not be exercisable for more than the percentage of the aggregate number of Shares subject to this Option with respect to which this Option has become vested and exercisable pursuant to the vesting schedule set forth in the Grant Notice or as provided in this </w:t>
      </w:r>
      <w:r>
        <w:rPr>
          <w:rFonts w:ascii="Times New Roman;serif" w:hAnsi="Times New Roman;serif"/>
          <w:b w:val="false"/>
          <w:color w:val="000000"/>
          <w:sz w:val="24"/>
          <w:u w:val="single"/>
        </w:rPr>
        <w:t>Section 4</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This Option may be exercised only while the Participant remains an employee of the Company or an Affiliate and will terminate and cease to be exercisable upon the Participant’s termination of employment, except as otherwise provided pursuant to Section 6.8 of the Plan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for purposes of this Agreement, the phrase “Termination of Service” as used in Section 6.8 of the Plan shall be deemed to say “termination of employment”).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This Option shall not be exercisable in any event after the Expiration Date set forth in the Grant Notice.</w:t>
      </w:r>
    </w:p>
    <w:p>
      <w:pPr>
        <w:pStyle w:val="TextBody"/>
        <w:bidi w:val="0"/>
        <w:spacing w:lineRule="auto" w:line="288"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The Exercise Price for the Shares as to which this Option is exercised shall be paid in full at the time of exercise in cash (including check, bank draft or money order payable to the order of the Company or wire transfer of immediately available funds). If permitted by the Committee in its sole discretion, the Exercise Price for the Shares as to which this Option is exercised may be paid (i)  by delivering or constructively tendering to the Company Shares having a Fair Market Value equal to the Exercise Price (provided such Shares used for this purpose must have been held by the Participant for such minimum period of time as may be established from time to time by the Committee to avoid adverse accounting consequences), (ii) through a broker-assisted “cashless exercise” in accordance with a Company-established policy or program for the same, (iii) by “net issuance exercise” pursuant to which the Company reduces the number of Shares otherwise deliverable upon exercise of this Option by a number of Shares with an aggregate Fair Market Value equal to the aggregate Exercise Price at the time of exercise or (iv) any combination of the foregoing. No fraction of a Share shall be issued by the Company upon exercise of an Option or accepted by the Company in payment of the exercise price thereof; rather, the Participant shall provide a cash payment for such amount as is necessary to effect the issuance and acceptance of only whole Shares. </w:t>
      </w:r>
    </w:p>
    <w:p>
      <w:pPr>
        <w:pStyle w:val="TextBody"/>
        <w:bidi w:val="0"/>
        <w:spacing w:lineRule="auto" w:line="288"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The holder of this Option shall not be, and shall not have any of the rights or privileges of, a stockholder of the Company in respect of any Shares purchasable upon the exercise of any part of this Option unless and until such Shares shall have been issued by the Company to such holder (as evidenced by the appropriate entry on the books of the Company or of a duly authorized transfer agent of the Company). No adjustment will be made for a dividend or other right for which the record date is prior to the date the Shares are issued, except as provided in Section 4.3(b)(iii) of the Plan.</w:t>
      </w:r>
    </w:p>
    <w:p>
      <w:pPr>
        <w:pStyle w:val="TextBody"/>
        <w:bidi w:val="0"/>
        <w:spacing w:lineRule="auto" w:line="288" w:before="0" w:after="240"/>
        <w:ind w:left="0" w:right="0" w:firstLine="720"/>
        <w:jc w:val="both"/>
        <w:rPr/>
      </w:pPr>
      <w:r>
        <w:rPr>
          <w:rFonts w:ascii="Times New Roman;serif" w:hAnsi="Times New Roman;serif"/>
          <w:b/>
          <w:color w:val="000000"/>
          <w:sz w:val="24"/>
        </w:rPr>
        <w:t>5.</w:t>
      </w:r>
      <w:r>
        <w:rPr>
          <w:rFonts w:ascii="Times New Roman;serif" w:hAnsi="Times New Roman;serif"/>
          <w:b/>
          <w:color w:val="000000"/>
          <w:sz w:val="24"/>
          <w:u w:val="single"/>
        </w:rPr>
        <w:t>Restrictive Covenants.</w:t>
      </w:r>
    </w:p>
    <w:p>
      <w:pPr>
        <w:pStyle w:val="TextBody"/>
        <w:bidi w:val="0"/>
        <w:spacing w:before="0" w:after="0"/>
        <w:jc w:val="both"/>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85445"/>
                <wp:effectExtent l="0" t="0" r="0" b="0"/>
                <wp:wrapNone/>
                <wp:docPr id="60" name="Frame6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The Participant acknowledges and agrees that the grant of this Option further aligns the Participant’s interests with the Company’s long-term business interests, and as a condition to the Company’s willingness to enter into this Agreement, the Participant agrees to abide by the terms set forth in </w:t>
      </w:r>
      <w:r>
        <w:rPr>
          <w:rFonts w:ascii="Times New Roman;serif" w:hAnsi="Times New Roman;serif"/>
          <w:b w:val="false"/>
          <w:color w:val="000000"/>
          <w:sz w:val="24"/>
          <w:u w:val="single"/>
        </w:rPr>
        <w:t>Exhibit B</w:t>
      </w:r>
      <w:r>
        <w:rPr>
          <w:rFonts w:ascii="Times New Roman;serif" w:hAnsi="Times New Roman;serif"/>
          <w:b w:val="false"/>
          <w:color w:val="000000"/>
          <w:sz w:val="24"/>
        </w:rPr>
        <w:t xml:space="preserve">, which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 xml:space="preserve">is deemed to be part of this Agreement as if fully set forth herein. The Participant acknowledges and agrees that the Restrictive Covenants are reasonable and enforceable in all respects. By accepting this Award, the Participant agrees to be bound, and promises to abide, by the terms set forth in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and expressly acknowledges and affirms that this Award would not be granted to the Participant if the Participant had not agreed to be bound by such provisions.</w: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Notwithstanding any provision in this Agreement or the Plan to the contrary, in the event the Company determines that the Participant has failed to abide by any of the terms set forth in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 xml:space="preserve">or the provisions of any other confidentiality, non-disclosure, non-competition, non-solicitation, non-disparagement or other restrictive covenants in any other agreement by and between the Company or any Affiliate and the Participant, then, in addition to and without limiting the remedies set forth in </w:t>
      </w:r>
      <w:r>
        <w:rPr>
          <w:rFonts w:ascii="Times New Roman;serif" w:hAnsi="Times New Roman;serif"/>
          <w:b w:val="false"/>
          <w:color w:val="000000"/>
          <w:sz w:val="24"/>
          <w:u w:val="single"/>
        </w:rPr>
        <w:t>Exhibit B</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(i)all outstanding Options (whether vested or unvested) that have not been exercised as of the date of such determination will terminate automatically without any further action by the Company and will be forfeited without further notice and at no cost to the Company; and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(ii)the Participant shall, within 30 days following the Participant’s receipt of a written notice from the Company, pay to the Company a cash amount equal to the Fair Market Value of any Shares previously received by the Participant pursuant to the exercise of the Option as of the date of receipt of such Shares (less aggregate exercise price), together with an amount equal to any dividends or other payments received in respect of such Shares, and the Participant shall reimburse the Company for any costs or fees (including attorneys’ fees) in the event the Participant fails to timely make such payments.</w:t>
      </w:r>
    </w:p>
    <w:p>
      <w:pPr>
        <w:pStyle w:val="TextBody"/>
        <w:bidi w:val="0"/>
        <w:spacing w:lineRule="auto" w:line="288" w:before="0" w:after="240"/>
        <w:ind w:left="0" w:right="0" w:firstLine="720"/>
        <w:jc w:val="both"/>
        <w:rPr/>
      </w:pPr>
      <w:r>
        <w:rPr>
          <w:rFonts w:ascii="Times New Roman;serif" w:hAnsi="Times New Roman;serif"/>
          <w:b/>
          <w:color w:val="000000"/>
          <w:sz w:val="24"/>
        </w:rPr>
        <w:t>6.</w:t>
      </w:r>
      <w:r>
        <w:rPr>
          <w:rFonts w:ascii="Times New Roman;serif" w:hAnsi="Times New Roman;serif"/>
          <w:b/>
          <w:color w:val="000000"/>
          <w:sz w:val="24"/>
          <w:u w:val="single"/>
        </w:rPr>
        <w:t>Tax Withholding.</w:t>
      </w:r>
      <w:r>
        <w:rPr>
          <w:color w:val="000000"/>
        </w:rPr>
        <w:t xml:space="preserve"> </w:t>
      </w:r>
      <w:r>
        <w:rPr>
          <w:rFonts w:ascii="Times New Roman;serif" w:hAnsi="Times New Roman;serif"/>
          <w:b w:val="false"/>
          <w:color w:val="000000"/>
          <w:sz w:val="24"/>
        </w:rPr>
        <w:t xml:space="preserve">To the extent that the receipt, vesting or exercise of this Award results in compensation income or wages to the Participant for federal, state, local and/or foreign tax purposes, the Participant shall make arrangements satisfactory to the Company regarding the payment of any income tax, social insurance contribution or other applicable taxes that are required to be withheld in respect of this Award, which arrangements include the delivery of cash or cash equivalents, Shares (including previously owned Shares (which are not subject to any pledge or other security interest), net exercise, a broker-assisted sale, or other cashless withholding or reduction of the amount of shares otherwise issuable or delivered pursuant to this Award), other property, or any other legal consideration the Committee deems appropriate. If such tax obligations are satisfied through net exercise or the surrender of previously owned Shares, the maximum number of Shares that may be so withheld (or surrendered) shall be the number of Shares that have an aggregate Fair Market Value on the date of withholding or surrender equal to the aggregate amount of such tax liabilities determined based on the greatest withholding rates for federal, state, local and/or foreign tax purposes, </w:t>
      </w:r>
    </w:p>
    <w:p>
      <w:pPr>
        <w:pStyle w:val="TextBody"/>
        <w:bidi w:val="0"/>
        <w:spacing w:before="0" w:after="0"/>
        <w:jc w:val="both"/>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85445"/>
                <wp:effectExtent l="0" t="0" r="0" b="0"/>
                <wp:wrapNone/>
                <wp:docPr id="61" name="Frame6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including payroll taxes, that may be utilized without creating adverse accounting treatment for the Company with respect to this Award, as determined by the Committee. Any fraction of a Share required to satisfy such tax obligations shall be disregarded and the amount due shall be paid instead in cash to the Participant. The Participant acknowledges that there may be adverse tax consequences upon the receipt, vesting or exercise of this Award or disposition of the underlying shares and that the Participant has been advised, and hereby is advised, to consult a tax advisor. The Participant represents that the Participant is in no manner relying on the Board, the Committee, the Company or an Affiliate or any of their respective managers, directors, officers, employees or authorized representatives (including attorneys, accountants, consultants, bankers, lenders, prospective lenders and financial representatives) for tax advice or an assessment of such tax consequences.</w:t>
      </w:r>
    </w:p>
    <w:p>
      <w:pPr>
        <w:pStyle w:val="TextBody"/>
        <w:bidi w:val="0"/>
        <w:spacing w:lineRule="auto" w:line="288" w:before="0" w:after="240"/>
        <w:ind w:left="0" w:right="0" w:firstLine="720"/>
        <w:jc w:val="both"/>
        <w:rPr/>
      </w:pPr>
      <w:r>
        <w:rPr>
          <w:rFonts w:ascii="Times New Roman;serif" w:hAnsi="Times New Roman;serif"/>
          <w:b/>
          <w:color w:val="000000"/>
          <w:sz w:val="24"/>
        </w:rPr>
        <w:t>7.</w:t>
      </w:r>
      <w:r>
        <w:rPr>
          <w:rFonts w:ascii="Times New Roman;serif" w:hAnsi="Times New Roman;serif"/>
          <w:b/>
          <w:color w:val="000000"/>
          <w:sz w:val="24"/>
          <w:u w:val="single"/>
        </w:rPr>
        <w:t>Non-Transferability.</w:t>
      </w:r>
      <w:r>
        <w:rPr>
          <w:color w:val="000000"/>
        </w:rPr>
        <w:t xml:space="preserve">  </w:t>
      </w:r>
      <w:r>
        <w:rPr>
          <w:rFonts w:ascii="Times New Roman;serif" w:hAnsi="Times New Roman;serif"/>
          <w:b w:val="false"/>
          <w:color w:val="000000"/>
          <w:sz w:val="24"/>
        </w:rPr>
        <w:t>During the lifetime of the Participant, this Option may not be sold, pledged, assigned or transferred in any manner other than by will or the laws of descent and distribution, unless and until the Shares underlying the Option have been issued, and all restrictions applicable to such Shares have lapsed, and this Option shall be exercisable, during the Participant’s lifetime, only by the Participant. Neither the Option nor any interest or right therein shall be liable for the debts, contracts or engagements of the Participant or his or her successors in interest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except to the extent that such disposition is permitted by the preceding sentence.</w:t>
      </w:r>
    </w:p>
    <w:p>
      <w:pPr>
        <w:pStyle w:val="TextBody"/>
        <w:bidi w:val="0"/>
        <w:spacing w:lineRule="auto" w:line="288" w:before="0" w:after="240"/>
        <w:ind w:left="0" w:right="0" w:firstLine="720"/>
        <w:jc w:val="both"/>
        <w:rPr/>
      </w:pPr>
      <w:r>
        <w:rPr>
          <w:rFonts w:ascii="Times New Roman;serif" w:hAnsi="Times New Roman;serif"/>
          <w:b/>
          <w:color w:val="000000"/>
          <w:sz w:val="24"/>
        </w:rPr>
        <w:t>8.</w:t>
      </w:r>
      <w:r>
        <w:rPr>
          <w:rFonts w:ascii="Times New Roman;serif" w:hAnsi="Times New Roman;serif"/>
          <w:b/>
          <w:color w:val="000000"/>
          <w:sz w:val="24"/>
          <w:u w:val="single"/>
        </w:rPr>
        <w:t>Compliance with Applicable Law.</w:t>
      </w:r>
      <w:r>
        <w:rPr>
          <w:color w:val="000000"/>
        </w:rPr>
        <w:t xml:space="preserve"> </w:t>
      </w:r>
      <w:r>
        <w:rPr>
          <w:rFonts w:ascii="Times New Roman;serif" w:hAnsi="Times New Roman;serif"/>
          <w:b w:val="false"/>
          <w:color w:val="000000"/>
          <w:sz w:val="24"/>
        </w:rPr>
        <w:t>Notwithstanding any provision of this Agreement to the contrary, the issuance of Shares hereunder will be subject to compliance with all applicable requirements of applicable law with respect to such securities and with the requirements of any stock exchange or market system upon which the Shares may then be listed. No Shares will be issued hereunder if such issuance would constitute a violation of any applicable law or regulation or the requirements of any stock exchange or market system upon which the Shares may then be listed. In addition, Shares will not be issued hereunder unless (a) a registration statement under the Securities Act is in effect at the time of such issuance with respect to the shares to be issued or (b) in the opinion of legal counsel to the Company, the shares to be issued are permitted to be issued in accordance with the terms of an applicable exemption from the registration requirements of the Securities Act. The inability of the Company to obtain from any regulatory body having jurisdiction the authority, if any, deemed by the Company’s legal counsel to be necessary for the lawful issuance and sale of any Shares hereunder will relieve the Company of any liability in respect of the failure to issue such shares as to which such requisite authority has not been obtained. As a condition to any issuance of Shares hereunder, the Company may require the Participant to satisfy any requirements that may be necessary or appropriate to evidence compliance with any applicable law or regulation and to make any representation or warranty with respect to such compliance as may be requested by the Company.</w:t>
      </w:r>
    </w:p>
    <w:p>
      <w:pPr>
        <w:pStyle w:val="TextBody"/>
        <w:bidi w:val="0"/>
        <w:spacing w:before="0" w:after="0"/>
        <w:jc w:val="both"/>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85445"/>
                <wp:effectExtent l="0" t="0" r="0" b="0"/>
                <wp:wrapNone/>
                <wp:docPr id="62" name="Frame6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4"/>
        </w:rPr>
        <w:t>9.</w:t>
      </w:r>
      <w:r>
        <w:rPr>
          <w:rFonts w:ascii="Times New Roman;serif" w:hAnsi="Times New Roman;serif"/>
          <w:b/>
          <w:color w:val="000000"/>
          <w:sz w:val="24"/>
          <w:u w:val="single"/>
        </w:rPr>
        <w:t>Rights as a Stockholder.</w:t>
      </w:r>
      <w:r>
        <w:rPr>
          <w:color w:val="000000"/>
        </w:rPr>
        <w:t xml:space="preserve"> </w:t>
      </w:r>
      <w:r>
        <w:rPr>
          <w:rFonts w:ascii="Times New Roman;serif" w:hAnsi="Times New Roman;serif"/>
          <w:b w:val="false"/>
          <w:color w:val="000000"/>
          <w:sz w:val="24"/>
        </w:rPr>
        <w:t>The Participant shall have no rights or privileges of a stockholder of the Company with respect to any Shares purchasable upon the exercise of any part of the Option unless and until the Participant has become the holder of record of such Shares and such Shares have been delivered to the Participant (including through electronic delivery to a brokerage account). No adjustments shall be made for dividends in cash or other property, distributions or other rights for which the record date is prior to the date of such issuance, recordation and delivery, except as otherwise specifically provided for in the Plan or this Agreement. Except as otherwise provided herein, after such issuance, recordation and delivery, Participant will have all the rights of a stockholder of the Company with respect to such Shares, including, without limitation, the right to receipt of dividends and distributions on such Shares.</w:t>
      </w:r>
    </w:p>
    <w:p>
      <w:pPr>
        <w:pStyle w:val="TextBody"/>
        <w:bidi w:val="0"/>
        <w:spacing w:lineRule="auto" w:line="288" w:before="0" w:after="240"/>
        <w:ind w:left="0" w:right="0" w:firstLine="720"/>
        <w:jc w:val="both"/>
        <w:rPr/>
      </w:pPr>
      <w:r>
        <w:rPr>
          <w:rFonts w:ascii="Times New Roman;serif" w:hAnsi="Times New Roman;serif"/>
          <w:b/>
          <w:color w:val="000000"/>
          <w:sz w:val="24"/>
        </w:rPr>
        <w:t>10.</w:t>
      </w:r>
      <w:r>
        <w:rPr>
          <w:rFonts w:ascii="Times New Roman;serif" w:hAnsi="Times New Roman;serif"/>
          <w:b/>
          <w:color w:val="000000"/>
          <w:sz w:val="24"/>
          <w:u w:val="single"/>
        </w:rPr>
        <w:t>Execution of Receipts and Releases.</w:t>
      </w:r>
      <w:r>
        <w:rPr>
          <w:color w:val="000000"/>
        </w:rPr>
        <w:t xml:space="preserve"> </w:t>
      </w:r>
      <w:r>
        <w:rPr>
          <w:rFonts w:ascii="Times New Roman;serif" w:hAnsi="Times New Roman;serif"/>
          <w:b w:val="false"/>
          <w:color w:val="000000"/>
          <w:sz w:val="24"/>
        </w:rPr>
        <w:t>Any issuance or transfer of Shares or other property to the Participant or the Participant’s legal representative, heir, legatee or distributee, in accordance with this Agreement shall be in full satisfaction of all claims of such Person hereunder. As a condition precedent to such payment or issuance, the Company may require the Participant or the Participant’s legal representative, heir, legatee or distributee to execute (and not revoke within any time provided to do so) a release and receipt therefor in such form as it shall determine appropriate; provided, however, that any review period under such release will not modify the exercise period with respect to vested Option.</w:t>
      </w:r>
    </w:p>
    <w:p>
      <w:pPr>
        <w:pStyle w:val="TextBody"/>
        <w:bidi w:val="0"/>
        <w:spacing w:lineRule="auto" w:line="288" w:before="0" w:after="240"/>
        <w:ind w:left="0" w:right="0" w:firstLine="720"/>
        <w:jc w:val="both"/>
        <w:rPr/>
      </w:pPr>
      <w:r>
        <w:rPr>
          <w:rFonts w:ascii="Times New Roman;serif" w:hAnsi="Times New Roman;serif"/>
          <w:b/>
          <w:color w:val="000000"/>
          <w:sz w:val="24"/>
        </w:rPr>
        <w:t>11.</w:t>
      </w:r>
      <w:r>
        <w:rPr>
          <w:rFonts w:ascii="Times New Roman;serif" w:hAnsi="Times New Roman;serif"/>
          <w:b/>
          <w:color w:val="000000"/>
          <w:sz w:val="24"/>
          <w:u w:val="single"/>
        </w:rPr>
        <w:t>No Right to Continued Employment, Service or Awards.</w:t>
      </w:r>
      <w:r>
        <w:rPr>
          <w:color w:val="000000"/>
        </w:rPr>
        <w:t xml:space="preserve"> </w:t>
      </w:r>
      <w:r>
        <w:rPr>
          <w:rFonts w:ascii="Times New Roman;serif" w:hAnsi="Times New Roman;serif"/>
          <w:b w:val="false"/>
          <w:color w:val="000000"/>
          <w:sz w:val="24"/>
        </w:rPr>
        <w:t>Nothing in the adoption of the Plan, nor the award of this Option thereunder pursuant to the Grant Notice and this Agreement, shall confer upon the Participant the right to continued employment by, or a continued service relationship with, the Company or any Affiliate, or any other entity, or affect in any way the right of the Company or any such Affiliate, or any other entity to terminate such employment or other service relationship at any time. Unless otherwise provided in a written employment agreement or by applicable law, the Participant’s employment by the Company, or any such Affiliate, or any other entity shall be on an at-will basis, and the employment relationship may be terminated at any time by either the Participant or the Company, or any such Affiliate, or other entity for any reason whatsoever, with or without cause or notice. Any question as to whether and when there has been a termination of such employment, and the cause of such termination, shall be determined by the Committee or its delegate, and such determination shall be final, conclusive and binding for all purposes. The grant of this Option is a one-time benefit that was made at the sole discretion of the Company and does not create any contractual or other right to receive a grant of Awards or benefits in the future in lieu of Awards in the future, including any adjustment to wages, overtime, benefits or other compensation. Any future Awards will be granted at the sole discretion of the Company.</w:t>
      </w:r>
    </w:p>
    <w:p>
      <w:pPr>
        <w:pStyle w:val="TextBody"/>
        <w:bidi w:val="0"/>
        <w:spacing w:lineRule="auto" w:line="288" w:before="0" w:after="240"/>
        <w:ind w:left="0" w:right="0" w:firstLine="720"/>
        <w:jc w:val="both"/>
        <w:rPr/>
      </w:pPr>
      <w:r>
        <w:rPr>
          <w:rFonts w:ascii="Times New Roman;serif" w:hAnsi="Times New Roman;serif"/>
          <w:b/>
          <w:color w:val="000000"/>
          <w:sz w:val="24"/>
        </w:rPr>
        <w:t>12.</w:t>
      </w:r>
      <w:r>
        <w:rPr>
          <w:rFonts w:ascii="Times New Roman;serif" w:hAnsi="Times New Roman;serif"/>
          <w:b/>
          <w:color w:val="000000"/>
          <w:sz w:val="24"/>
          <w:u w:val="single"/>
        </w:rPr>
        <w:t>Legal and Equitable Remedies.</w:t>
      </w:r>
      <w:r>
        <w:rPr>
          <w:color w:val="000000"/>
        </w:rPr>
        <w:t xml:space="preserve"> </w:t>
      </w:r>
      <w:r>
        <w:rPr>
          <w:rFonts w:ascii="Times New Roman;serif" w:hAnsi="Times New Roman;serif"/>
          <w:b w:val="false"/>
          <w:color w:val="000000"/>
          <w:sz w:val="24"/>
        </w:rPr>
        <w:t xml:space="preserve">The Participant acknowledges that a violation or attempted breach of any of the Participant’s covenants and agreements in this Agreement will cause such damage as will be irreparable, the exact amount of which would be difficult to ascertain and for which there will be no adequate remedy at law, and accordingly, the parties hereto agree that the Company and its Affiliates shall be entitled as a matter of right to an injunction issued by any court of competent jurisdiction, restraining the Participant or the affiliates, partners or agents of the Participant from such breach or attempted violation of such </w:t>
      </w:r>
    </w:p>
    <w:p>
      <w:pPr>
        <w:pStyle w:val="TextBody"/>
        <w:bidi w:val="0"/>
        <w:spacing w:before="0" w:after="0"/>
        <w:jc w:val="both"/>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385445"/>
                <wp:effectExtent l="0" t="0" r="0" b="0"/>
                <wp:wrapNone/>
                <wp:docPr id="63" name="Frame6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covenants and agreements, as well as to recover from the Participant any and all costs and expenses sustained or incurred by the Company or any Affiliate in obtaining such an injunction, including reasonable attorneys’ fees. The parties to this Agreement agree that no bond or other security shall be required in connection with such injunction. Any exercise by either of the parties to this Agreement of its rights pursuant to this Section 12 shall be cumulative and in addition to any other remedies to which such party may be entitled.</w:t>
      </w:r>
    </w:p>
    <w:p>
      <w:pPr>
        <w:pStyle w:val="TextBody"/>
        <w:bidi w:val="0"/>
        <w:spacing w:lineRule="auto" w:line="288" w:before="0" w:after="240"/>
        <w:ind w:left="0" w:right="0" w:firstLine="720"/>
        <w:jc w:val="both"/>
        <w:rPr/>
      </w:pPr>
      <w:r>
        <w:rPr>
          <w:rFonts w:ascii="Times New Roman;serif" w:hAnsi="Times New Roman;serif"/>
          <w:b/>
          <w:color w:val="000000"/>
          <w:sz w:val="24"/>
        </w:rPr>
        <w:t>13.</w:t>
      </w:r>
      <w:r>
        <w:rPr>
          <w:rFonts w:ascii="Times New Roman;serif" w:hAnsi="Times New Roman;serif"/>
          <w:b/>
          <w:color w:val="000000"/>
          <w:sz w:val="24"/>
          <w:u w:val="single"/>
        </w:rPr>
        <w:t>Notices.</w:t>
      </w:r>
      <w:r>
        <w:rPr>
          <w:color w:val="000000"/>
        </w:rPr>
        <w:t xml:space="preserve"> </w:t>
      </w:r>
      <w:r>
        <w:rPr>
          <w:rFonts w:ascii="Times New Roman;serif" w:hAnsi="Times New Roman;serif"/>
          <w:b w:val="false"/>
          <w:color w:val="000000"/>
          <w:sz w:val="24"/>
        </w:rPr>
        <w:t>All notices and other communications under this Agreement shall be in writing and shall be delivered to the parties at the following addresses (or at such other address for a party as shall be specified by like notice):</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If to the Company, at the Company’s headquarters, to the attention of the General Counsel; and </w:t>
      </w:r>
    </w:p>
    <w:p>
      <w:pPr>
        <w:pStyle w:val="TextBody"/>
        <w:bidi w:val="0"/>
        <w:spacing w:before="0" w:after="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If to the Participant, at the Participant’s last known address on file with the Company.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Any notice that is delivered personally or by overnight courier or telecopier in the manner provided herein shall be deemed to have been duly given to the Participant when it is mailed by the Company or, if such notice is not mailed to the Participant, upon receipt by the Participant. Any notice that is addressed and mailed in the manner herein provided shall be conclusively presumed to have been given to the party to whom it is addressed at the close of business, local time of the recipient, on the fourth day after the day it is so placed in the mail. </w:t>
      </w:r>
    </w:p>
    <w:p>
      <w:pPr>
        <w:pStyle w:val="TextBody"/>
        <w:bidi w:val="0"/>
        <w:spacing w:lineRule="auto" w:line="288" w:before="0" w:after="240"/>
        <w:ind w:left="0" w:right="0" w:firstLine="720"/>
        <w:jc w:val="both"/>
        <w:rPr/>
      </w:pPr>
      <w:r>
        <w:rPr>
          <w:rFonts w:ascii="Times New Roman;serif" w:hAnsi="Times New Roman;serif"/>
          <w:b/>
          <w:color w:val="000000"/>
          <w:sz w:val="24"/>
        </w:rPr>
        <w:t>14.</w:t>
      </w:r>
      <w:r>
        <w:rPr>
          <w:rFonts w:ascii="Times New Roman;serif" w:hAnsi="Times New Roman;serif"/>
          <w:b/>
          <w:color w:val="000000"/>
          <w:sz w:val="24"/>
          <w:u w:val="single"/>
        </w:rPr>
        <w:t>Consent to Electronic Delivery; Electronic Signature.</w:t>
      </w:r>
      <w:r>
        <w:rPr>
          <w:color w:val="000000"/>
        </w:rPr>
        <w:t xml:space="preserve"> </w:t>
      </w:r>
      <w:r>
        <w:rPr>
          <w:rFonts w:ascii="Times New Roman;serif" w:hAnsi="Times New Roman;serif"/>
          <w:b w:val="false"/>
          <w:color w:val="000000"/>
          <w:sz w:val="24"/>
        </w:rPr>
        <w:t>In lieu of receiving documents in paper format, the Participant agrees, to the fullest extent permitted by law, to accept electronic delivery of any documents that the Company may be required to deliver (including, but not limited to, prospectuses, prospectus supplements, grant or award notifications and agreements, account statements, annual and quarterly reports and all other forms of communications) in connection with this and any other Award made or offered by the Company. Electronic delivery may be via a Company electronic mail system or by reference to a location on a Company intranet to which the Participant has access. The Participant hereby consents to any and all procedures the Company has established or may establish for an electronic signature system for delivery and acceptance of any such documents that the Company may be required to deliver, and agrees that his or her electronic signature is the same as, and shall have the same force and effect as, his or her manual signature.</w:t>
      </w:r>
    </w:p>
    <w:p>
      <w:pPr>
        <w:pStyle w:val="TextBody"/>
        <w:bidi w:val="0"/>
        <w:spacing w:lineRule="auto" w:line="288" w:before="0" w:after="240"/>
        <w:ind w:left="0" w:right="0" w:firstLine="720"/>
        <w:jc w:val="both"/>
        <w:rPr/>
      </w:pPr>
      <w:r>
        <w:rPr>
          <w:rFonts w:ascii="Times New Roman;serif" w:hAnsi="Times New Roman;serif"/>
          <w:b/>
          <w:color w:val="000000"/>
          <w:sz w:val="24"/>
        </w:rPr>
        <w:t>15.</w:t>
      </w:r>
      <w:r>
        <w:rPr>
          <w:rFonts w:ascii="Times New Roman;serif" w:hAnsi="Times New Roman;serif"/>
          <w:b/>
          <w:color w:val="000000"/>
          <w:sz w:val="24"/>
          <w:u w:val="single"/>
        </w:rPr>
        <w:t>Agreement to Furnish Information.</w:t>
      </w:r>
      <w:r>
        <w:rPr>
          <w:color w:val="000000"/>
        </w:rPr>
        <w:t xml:space="preserve"> </w:t>
      </w:r>
      <w:r>
        <w:rPr>
          <w:rFonts w:ascii="Times New Roman;serif" w:hAnsi="Times New Roman;serif"/>
          <w:b w:val="false"/>
          <w:color w:val="000000"/>
          <w:sz w:val="24"/>
        </w:rPr>
        <w:t>The Participant agrees to furnish to the Company all information requested by the Company to enable it to comply with any reporting or other requirement imposed upon the Company by or under any applicable statute or regulation.</w:t>
      </w:r>
    </w:p>
    <w:p>
      <w:pPr>
        <w:pStyle w:val="TextBody"/>
        <w:bidi w:val="0"/>
        <w:spacing w:lineRule="auto" w:line="288" w:before="0" w:after="240"/>
        <w:ind w:left="0" w:right="0" w:firstLine="720"/>
        <w:jc w:val="both"/>
        <w:rPr/>
      </w:pPr>
      <w:r>
        <w:rPr>
          <w:rFonts w:ascii="Times New Roman;serif" w:hAnsi="Times New Roman;serif"/>
          <w:b/>
          <w:color w:val="000000"/>
          <w:sz w:val="24"/>
        </w:rPr>
        <w:t>16.</w:t>
      </w:r>
      <w:r>
        <w:rPr>
          <w:rFonts w:ascii="Times New Roman;serif" w:hAnsi="Times New Roman;serif"/>
          <w:b/>
          <w:color w:val="000000"/>
          <w:sz w:val="24"/>
          <w:u w:val="single"/>
        </w:rPr>
        <w:t>Entire Agreement; Amendment.</w:t>
      </w:r>
      <w:r>
        <w:rPr>
          <w:color w:val="000000"/>
        </w:rPr>
        <w:t xml:space="preserve"> </w:t>
      </w:r>
      <w:r>
        <w:rPr>
          <w:rFonts w:ascii="Times New Roman;serif" w:hAnsi="Times New Roman;serif"/>
          <w:b w:val="false"/>
          <w:color w:val="000000"/>
          <w:sz w:val="24"/>
        </w:rPr>
        <w:t xml:space="preserve">This Agreement constitutes the entire agreement of the parties with regard to the subject matter hereof, and contains all the covenants, promises, representations, warranties and agreements between the parties with respect to this Option; provided¸ however, that the terms of this Agreement shall not modify and shall be subject to the terms and conditions of any employment, consulting and/or severance agreement between the Company (or an Affiliate or other entity) and the Participant in effect as of the date a </w:t>
      </w:r>
    </w:p>
    <w:p>
      <w:pPr>
        <w:pStyle w:val="TextBody"/>
        <w:bidi w:val="0"/>
        <w:spacing w:before="0" w:after="0"/>
        <w:jc w:val="both"/>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385445"/>
                <wp:effectExtent l="0" t="0" r="0" b="0"/>
                <wp:wrapNone/>
                <wp:docPr id="64" name="Frame6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determination is to be made under this Agreement. Without limiting the scope of the preceding sentence, except as provided therein, all prior understandings and agreements, if any, among the parties hereto relating to the subject matter hereof are hereby null and void and of no further force and effect. The Committee may, in its sole discretion, amend this Agreement from time to time in any manner that is not inconsistent with the Plan; provided, however, that except as otherwise provided in the Plan or this Agreement, any such amendment that materially reduces the rights of Participant shall be effective only if it is in writing and signed by both Participant and an authorized officer of the Company.  </w:t>
      </w:r>
    </w:p>
    <w:p>
      <w:pPr>
        <w:pStyle w:val="TextBody"/>
        <w:bidi w:val="0"/>
        <w:spacing w:lineRule="auto" w:line="288" w:before="0" w:after="240"/>
        <w:ind w:left="0" w:right="0" w:firstLine="720"/>
        <w:jc w:val="both"/>
        <w:rPr/>
      </w:pPr>
      <w:r>
        <w:rPr>
          <w:rFonts w:ascii="Times New Roman;serif" w:hAnsi="Times New Roman;serif"/>
          <w:b/>
          <w:color w:val="000000"/>
          <w:sz w:val="24"/>
        </w:rPr>
        <w:t>17.</w:t>
      </w:r>
      <w:r>
        <w:rPr>
          <w:rFonts w:ascii="Times New Roman;serif" w:hAnsi="Times New Roman;serif"/>
          <w:b/>
          <w:color w:val="000000"/>
          <w:sz w:val="24"/>
          <w:u w:val="single"/>
        </w:rPr>
        <w:t>Severability and Waiver.</w:t>
      </w:r>
      <w:r>
        <w:rPr>
          <w:color w:val="000000"/>
        </w:rPr>
        <w:t xml:space="preserve"> </w:t>
      </w:r>
      <w:r>
        <w:rPr>
          <w:rFonts w:ascii="Times New Roman;serif" w:hAnsi="Times New Roman;serif"/>
          <w:b w:val="false"/>
          <w:color w:val="000000"/>
          <w:sz w:val="24"/>
        </w:rPr>
        <w:t>If a court of competent jurisdiction determines that any provision of this Agreement is invalid or unenforceable, then the invalidity or unenforceability of such provision shall not affect the validity or enforceability of any other provision of this Agreement, and all other provisions shall remain in full force and effect. Waiver by any party of any breach of this Agreement or failure to exercise any right hereunder shall not be deemed to be a waiver of any other breach or right. The failure of any party to take action by reason of such breach or to exercise any such right shall not deprive the party of the right to take action at any time while or after such breach or condition giving rise to such rights continues.</w:t>
      </w:r>
    </w:p>
    <w:p>
      <w:pPr>
        <w:pStyle w:val="TextBody"/>
        <w:bidi w:val="0"/>
        <w:spacing w:lineRule="auto" w:line="288" w:before="0" w:after="240"/>
        <w:ind w:left="0" w:right="0" w:firstLine="720"/>
        <w:jc w:val="both"/>
        <w:rPr/>
      </w:pPr>
      <w:r>
        <w:rPr>
          <w:rFonts w:ascii="Times New Roman;serif" w:hAnsi="Times New Roman;serif"/>
          <w:b/>
          <w:color w:val="000000"/>
          <w:sz w:val="24"/>
        </w:rPr>
        <w:t>18.</w:t>
      </w:r>
      <w:r>
        <w:rPr>
          <w:rFonts w:ascii="Times New Roman;serif" w:hAnsi="Times New Roman;serif"/>
          <w:b/>
          <w:color w:val="000000"/>
          <w:sz w:val="24"/>
          <w:u w:val="single"/>
        </w:rPr>
        <w:t>Company Recoupment of Awards.</w:t>
      </w:r>
      <w:r>
        <w:rPr>
          <w:color w:val="000000"/>
        </w:rPr>
        <w:t xml:space="preserve"> </w:t>
      </w:r>
      <w:r>
        <w:rPr>
          <w:rFonts w:ascii="Times New Roman;serif" w:hAnsi="Times New Roman;serif"/>
          <w:b w:val="false"/>
          <w:color w:val="000000"/>
          <w:sz w:val="24"/>
        </w:rPr>
        <w:t>The Participant’s rights with respect to this Award shall in all events be subject to (a) any right that the Company may have under any Company recoupment policy or other agreement or arrangement with the Participant, and (b) any right or obligation that the Company may have regarding the clawback of “incentive-based compensation” under Section 10D of the Exchange Act and any applicable rules and regulations promulgated thereunder from time to time by the U.S. Securities and Exchange Commission or any other Applicable Law. The Participant’s acceptance of this Award will constitute the Participant’s acknowledgment of and consent to the Company’s application, implementation and enforcement of any Company recoupment, clawback or similar policy that may apply to the Participant and this Award, whether adopted before or after the Date of Grant (whether through clawback, cancellation, recoupment, rescission, payback, reduction or other similar action in accordance therewith) and any Applicable Law relating to clawback, cancellation, recoupment, rescission, payback or reduction of compensation or other similar action, and the Participant’s agreement that the Company may take any actions that may be necessary to effectuate any such policy or Applicable Law, without further consideration or action.</w:t>
      </w:r>
    </w:p>
    <w:p>
      <w:pPr>
        <w:pStyle w:val="TextBody"/>
        <w:bidi w:val="0"/>
        <w:spacing w:lineRule="auto" w:line="288" w:before="0" w:after="240"/>
        <w:ind w:left="0" w:right="0" w:firstLine="720"/>
        <w:jc w:val="both"/>
        <w:rPr/>
      </w:pPr>
      <w:r>
        <w:rPr>
          <w:rFonts w:ascii="Times New Roman;serif" w:hAnsi="Times New Roman;serif"/>
          <w:b/>
          <w:color w:val="000000"/>
          <w:sz w:val="24"/>
        </w:rPr>
        <w:t>19.</w:t>
      </w:r>
      <w:r>
        <w:rPr>
          <w:rFonts w:ascii="Times New Roman;serif" w:hAnsi="Times New Roman;serif"/>
          <w:b/>
          <w:color w:val="000000"/>
          <w:sz w:val="24"/>
          <w:u w:val="single"/>
        </w:rPr>
        <w:t>Governing Law.</w:t>
      </w:r>
      <w:r>
        <w:rPr>
          <w:color w:val="000000"/>
        </w:rPr>
        <w:t xml:space="preserve"> </w:t>
      </w:r>
      <w:r>
        <w:rPr>
          <w:rFonts w:ascii="Times New Roman;serif" w:hAnsi="Times New Roman;serif"/>
          <w:b w:val="false"/>
          <w:color w:val="000000"/>
          <w:sz w:val="24"/>
        </w:rPr>
        <w:t>THIS AGREEMENT SHALL BE GOVERNED BY AND CONSTRUED IN ACCORDANCE WITH THE LAWS OF THE STATE OF DELAWARE APPLICABLE TO CONTRACTS MADE AND TO BE PERFORMED THEREIN, EXCLUSIVE OF THE CONFLICT OF LAWS PROVISIONS OF DELAWARE LAW.</w:t>
      </w:r>
    </w:p>
    <w:p>
      <w:pPr>
        <w:pStyle w:val="TextBody"/>
        <w:bidi w:val="0"/>
        <w:spacing w:lineRule="auto" w:line="288" w:before="0" w:after="240"/>
        <w:ind w:left="0" w:right="0" w:firstLine="720"/>
        <w:jc w:val="both"/>
        <w:rPr/>
      </w:pPr>
      <w:r>
        <w:rPr>
          <w:rFonts w:ascii="Times New Roman;serif" w:hAnsi="Times New Roman;serif"/>
          <w:b/>
          <w:color w:val="000000"/>
          <w:sz w:val="24"/>
        </w:rPr>
        <w:t>20.</w:t>
      </w:r>
      <w:r>
        <w:rPr>
          <w:rFonts w:ascii="Times New Roman;serif" w:hAnsi="Times New Roman;serif"/>
          <w:b/>
          <w:color w:val="000000"/>
          <w:sz w:val="24"/>
          <w:u w:val="single"/>
        </w:rPr>
        <w:t>Conformity to Securities Laws.</w:t>
      </w:r>
      <w:r>
        <w:rPr>
          <w:color w:val="000000"/>
        </w:rPr>
        <w:t xml:space="preserve"> </w:t>
      </w:r>
      <w:r>
        <w:rPr>
          <w:rFonts w:ascii="Times New Roman;serif" w:hAnsi="Times New Roman;serif"/>
          <w:b w:val="false"/>
          <w:color w:val="000000"/>
          <w:sz w:val="24"/>
        </w:rPr>
        <w:t xml:space="preserve">Participant acknowledges that this Agreement is intended to conform to the extent necessary with all Applicable Laws, including, without limitation, the provisions of the Securities Act and the Exchange Act, and any and all regulations and rules promulgated thereunder by the Securities and Exchange Commission and state securities laws and regulations. Notwithstanding anything herein to the contrary, this Option </w:t>
      </w:r>
    </w:p>
    <w:p>
      <w:pPr>
        <w:pStyle w:val="TextBody"/>
        <w:bidi w:val="0"/>
        <w:spacing w:before="0" w:after="0"/>
        <w:jc w:val="both"/>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385445"/>
                <wp:effectExtent l="0" t="0" r="0" b="0"/>
                <wp:wrapNone/>
                <wp:docPr id="65" name="Frame6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shall be administered, granted and exercised only in such a manner as to conform to Applicable Law. To the extent permitted by Applicable Law and the Plan, this Agreement shall be deemed amended to the extent necessary to conform to Applicable Law. </w:t>
      </w:r>
    </w:p>
    <w:p>
      <w:pPr>
        <w:pStyle w:val="TextBody"/>
        <w:bidi w:val="0"/>
        <w:spacing w:lineRule="auto" w:line="288" w:before="0" w:after="240"/>
        <w:ind w:left="0" w:right="0" w:firstLine="720"/>
        <w:jc w:val="both"/>
        <w:rPr/>
      </w:pPr>
      <w:r>
        <w:rPr>
          <w:rFonts w:ascii="Times New Roman;serif" w:hAnsi="Times New Roman;serif"/>
          <w:b/>
          <w:color w:val="000000"/>
          <w:sz w:val="24"/>
        </w:rPr>
        <w:t>21.</w:t>
      </w:r>
      <w:r>
        <w:rPr>
          <w:rFonts w:ascii="Times New Roman;serif" w:hAnsi="Times New Roman;serif"/>
          <w:b/>
          <w:color w:val="000000"/>
          <w:sz w:val="24"/>
          <w:u w:val="single"/>
        </w:rPr>
        <w:t>Successors and Assigns.</w:t>
      </w:r>
      <w:r>
        <w:rPr>
          <w:color w:val="000000"/>
        </w:rPr>
        <w:t xml:space="preserve"> </w:t>
      </w:r>
      <w:r>
        <w:rPr>
          <w:rFonts w:ascii="Times New Roman;serif" w:hAnsi="Times New Roman;serif"/>
          <w:b w:val="false"/>
          <w:color w:val="000000"/>
          <w:sz w:val="24"/>
        </w:rPr>
        <w:t>The Company may assign any of its rights under this Agreement without the Participant’s consent. This Agreement will be binding upon and inure to the benefit of the successors and assigns of the Company. Subject to the restrictions on transfer set forth herein and in the Plan, this Agreement will be binding upon the Participant and the Participant’s beneficiaries, executors, administrators and the Person(s) to whom this Option may be transferred by will or the laws of descent or distribution.</w:t>
      </w:r>
    </w:p>
    <w:p>
      <w:pPr>
        <w:pStyle w:val="TextBody"/>
        <w:bidi w:val="0"/>
        <w:spacing w:lineRule="auto" w:line="288" w:before="0" w:after="240"/>
        <w:ind w:left="0" w:right="0" w:firstLine="720"/>
        <w:jc w:val="both"/>
        <w:rPr/>
      </w:pPr>
      <w:r>
        <w:rPr>
          <w:rFonts w:ascii="Times New Roman;serif" w:hAnsi="Times New Roman;serif"/>
          <w:b/>
          <w:color w:val="000000"/>
          <w:sz w:val="24"/>
        </w:rPr>
        <w:t>22.</w:t>
      </w:r>
      <w:r>
        <w:rPr>
          <w:rFonts w:ascii="Times New Roman;serif" w:hAnsi="Times New Roman;serif"/>
          <w:b/>
          <w:color w:val="000000"/>
          <w:sz w:val="24"/>
          <w:u w:val="single"/>
        </w:rPr>
        <w:t>Headings; References; Interpretation.</w:t>
      </w:r>
      <w:r>
        <w:rPr>
          <w:color w:val="000000"/>
        </w:rPr>
        <w:t xml:space="preserve"> </w:t>
      </w:r>
      <w:r>
        <w:rPr>
          <w:rFonts w:ascii="Times New Roman;serif" w:hAnsi="Times New Roman;serif"/>
          <w:b w:val="false"/>
          <w:color w:val="000000"/>
          <w:sz w:val="24"/>
        </w:rPr>
        <w:t>Headings are for convenience only and are not deemed to be part of this Agreement. The words “hereof,” “herein” and “hereunder” and words of similar import, when used in this Agreement, shall refer to this Agreement as a whole and not to any particular provision of this Agreement. All references herein to Sections shall, unless the context requires a different construction, be deemed to be references to the Sections of this Agreement. The word “or” as used herein is not exclusive and is deemed to have the meaning “and/or.” All references to “including” shall be construed as meaning “including without limitation.” Unless the context requires otherwise, all references herein to a law, agreement, instrument or other document shall be deemed to refer to such law, agreement, instrument or other document as amended, supplemented, modified and restated from time to time to the extent permitted by the provisions thereof. All references to “dollars” or “$” in this Agreement refer to United States dollars. Whenever the context may require, any pronouns used herein shall include the corresponding masculine, feminine or neuter forms, and the singular form of nouns and pronouns shall include the plural and vice versa. Neither this Agreement nor any uncertainty or ambiguity herein shall be construed or resolved against any party hereto, whether under any rule of construction or otherwise. On the contrary, this Agreement has been reviewed by each of the parties hereto and shall be construed and interpreted according to the ordinary meaning of the words used so as to fairly accomplish the purposes and intentions of the parties hereto.</w:t>
      </w:r>
    </w:p>
    <w:p>
      <w:pPr>
        <w:pStyle w:val="TextBody"/>
        <w:bidi w:val="0"/>
        <w:spacing w:lineRule="auto" w:line="288" w:before="0" w:after="240"/>
        <w:ind w:left="0" w:right="0" w:firstLine="720"/>
        <w:jc w:val="both"/>
        <w:rPr/>
      </w:pPr>
      <w:r>
        <w:rPr>
          <w:rFonts w:ascii="Times New Roman;serif" w:hAnsi="Times New Roman;serif"/>
          <w:b/>
          <w:color w:val="000000"/>
          <w:sz w:val="24"/>
        </w:rPr>
        <w:t>23.</w:t>
      </w:r>
      <w:r>
        <w:rPr>
          <w:rFonts w:ascii="Times New Roman;serif" w:hAnsi="Times New Roman;serif"/>
          <w:b/>
          <w:color w:val="000000"/>
          <w:sz w:val="24"/>
          <w:u w:val="single"/>
        </w:rPr>
        <w:t>Counterparts.</w:t>
      </w:r>
      <w:r>
        <w:rPr>
          <w:color w:val="000000"/>
        </w:rPr>
        <w:t xml:space="preserve"> </w:t>
      </w:r>
      <w:r>
        <w:rPr>
          <w:rFonts w:ascii="Times New Roman;serif" w:hAnsi="Times New Roman;serif"/>
          <w:b w:val="false"/>
          <w:color w:val="000000"/>
          <w:sz w:val="24"/>
        </w:rPr>
        <w:t>The Grant Notice may be executed in one or more counterparts, each of which shall be deemed an original and all of which together shall constitute one instrument. Delivery of an executed counterpart of the Grant Notice by facsimile or portable document format (.pdf) attachment to electronic mail shall be effective as delivery of a manually executed counterpart of the Grant Notice.</w:t>
      </w:r>
    </w:p>
    <w:p>
      <w:pPr>
        <w:pStyle w:val="TextBody"/>
        <w:bidi w:val="0"/>
        <w:spacing w:lineRule="auto" w:line="288" w:before="0" w:after="240"/>
        <w:ind w:left="0" w:right="0" w:firstLine="720"/>
        <w:jc w:val="both"/>
        <w:rPr/>
      </w:pPr>
      <w:r>
        <w:rPr>
          <w:rFonts w:ascii="Times New Roman;serif" w:hAnsi="Times New Roman;serif"/>
          <w:b/>
          <w:color w:val="000000"/>
          <w:sz w:val="24"/>
        </w:rPr>
        <w:t>24.</w:t>
      </w:r>
      <w:r>
        <w:rPr>
          <w:rFonts w:ascii="Times New Roman;serif" w:hAnsi="Times New Roman;serif"/>
          <w:b/>
          <w:color w:val="000000"/>
          <w:sz w:val="24"/>
          <w:u w:val="single"/>
        </w:rPr>
        <w:t>Section 409A.</w:t>
      </w:r>
      <w:r>
        <w:rPr>
          <w:color w:val="000000"/>
        </w:rPr>
        <w:t xml:space="preserve"> </w:t>
      </w:r>
      <w:r>
        <w:rPr>
          <w:rFonts w:ascii="Times New Roman;serif" w:hAnsi="Times New Roman;serif"/>
          <w:b w:val="false"/>
          <w:color w:val="000000"/>
          <w:sz w:val="24"/>
        </w:rPr>
        <w:t xml:space="preserve">This Option is not intended to constitute “nonqualified deferred compensation” within the meaning of Section 409A. However, notwithstanding any other provision of the Plan, the Grant Notice or this Agreement, if at any time the Committee determines that this Option (or any portion thereof) may be subject to Section 409A, the Committee shall have the right in its sole discretion (without any obligation to do so or to indemnify Participant or any other Person for failure to do so) to adopt such amendments to the Plan, the Grant Notice or this Agreement, or adopt other policies and procedures (including amendments, policies and procedures with retroactive effect), or take any other actions, as the </w:t>
      </w:r>
    </w:p>
    <w:p>
      <w:pPr>
        <w:pStyle w:val="TextBody"/>
        <w:bidi w:val="0"/>
        <w:spacing w:before="0" w:after="0"/>
        <w:jc w:val="both"/>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385445"/>
                <wp:effectExtent l="0" t="0" r="0" b="0"/>
                <wp:wrapNone/>
                <wp:docPr id="66" name="Frame6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Committee determines are necessary or appropriate for this Option either to be exempt from the application of Section 409A or to comply with the requirements of Section 409A.</w:t>
      </w:r>
    </w:p>
    <w:p>
      <w:pPr>
        <w:pStyle w:val="TextBody"/>
        <w:bidi w:val="0"/>
        <w:spacing w:lineRule="auto" w:line="288" w:before="0" w:after="240"/>
        <w:jc w:val="center"/>
        <w:rPr/>
      </w:pPr>
      <w:r>
        <w:rPr>
          <w:rFonts w:ascii="Times New Roman;serif" w:hAnsi="Times New Roman;serif"/>
          <w:b w:val="false"/>
          <w:color w:val="000000"/>
          <w:sz w:val="24"/>
        </w:rPr>
        <w:t>[</w:t>
      </w:r>
      <w:r>
        <w:rPr>
          <w:rFonts w:ascii="Times New Roman;serif" w:hAnsi="Times New Roman;serif"/>
          <w:b w:val="false"/>
          <w:i/>
          <w:color w:val="000000"/>
          <w:sz w:val="24"/>
        </w:rPr>
        <w:t>Remainder of Page Intentionally Blank</w:t>
      </w: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385445"/>
                <wp:effectExtent l="0" t="0" r="0" b="0"/>
                <wp:wrapNone/>
                <wp:docPr id="67" name="Frame6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EXHIBIT B</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RESTRICTIVE COVENANTS</w:t>
      </w:r>
    </w:p>
    <w:p>
      <w:pPr>
        <w:pStyle w:val="TextBody"/>
        <w:bidi w:val="0"/>
        <w:spacing w:before="0" w:after="0"/>
        <w:jc w:val="center"/>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Company and its subsidiaries operate in a highly sensitive and competitive commercial environment. As part of the Participant’s employment and/or service with the Company and its subsidiaries, the Participant has had and will be exposed to highly confidential and sensitive information regarding the business operations of the Company and its subsidiaries, including corporate strategy, pricing, and other market information, know-how, trade secrets, and valuable customer, supplier, lessor, regulatory, and employee relationships. It is critical that the Company take all necessary steps to safeguard its legitimate protectable interests in such information and to prevent any of its competitors or any other Persons from obtaining any such information. Therefore, in exchange for good, valuable, sufficient, and mutually-agreed-upon consideration, including, without limitation, the Company’s agreement to award an Option to the Participant; the Participant’s access to Confidential Information, customer lists, and other valuable and proprietary information of the Company and its subsidiaries; and the Company’s provision of specialized training and other professional benefits and resources to the Participant, each Participant agrees to be bound by the following restrictive covenants:</w:t>
      </w:r>
    </w:p>
    <w:p>
      <w:pPr>
        <w:pStyle w:val="TextBody"/>
        <w:bidi w:val="0"/>
        <w:spacing w:lineRule="auto" w:line="288" w:before="0" w:after="240"/>
        <w:ind w:left="0" w:right="0" w:hanging="360"/>
        <w:jc w:val="both"/>
        <w:rPr/>
      </w:pPr>
      <w:r>
        <w:rPr>
          <w:rFonts w:ascii="Times New Roman;serif" w:hAnsi="Times New Roman;serif"/>
          <w:b/>
          <w:color w:val="000000"/>
          <w:sz w:val="24"/>
        </w:rPr>
        <w:t>1.</w:t>
      </w:r>
      <w:r>
        <w:rPr>
          <w:rFonts w:ascii="Times New Roman;serif" w:hAnsi="Times New Roman;serif"/>
          <w:b/>
          <w:color w:val="000000"/>
          <w:sz w:val="24"/>
          <w:u w:val="single"/>
        </w:rPr>
        <w:t>Confidentiality</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The Participant agrees that, during the period of the Participant’s employment and/or service with the Company or its subsidiaries and thereafter (or to the maximum extent permitted by applicable law), the Participant shall not, without the express, written consent of the relevant member of the Company or its subsidiaries, disclose to any Person, or use or otherwise exploit for the Participant’s own benefit or for the benefit of any other Person, any of the Company’s or its subsidiaries’ Confidential Information, except as may be required in the course of the Participant’s employment and/or service with the Company or its subsidiaries. For this purpose, “</w:t>
      </w:r>
      <w:r>
        <w:rPr>
          <w:rFonts w:ascii="Times New Roman;serif" w:hAnsi="Times New Roman;serif"/>
          <w:b/>
          <w:color w:val="000000"/>
          <w:sz w:val="24"/>
          <w:u w:val="single"/>
        </w:rPr>
        <w:t>Confidential Information</w:t>
      </w:r>
      <w:r>
        <w:rPr>
          <w:color w:val="000000"/>
        </w:rPr>
        <w:t xml:space="preserve">” </w:t>
      </w:r>
      <w:r>
        <w:rPr>
          <w:rFonts w:ascii="Times New Roman;serif" w:hAnsi="Times New Roman;serif"/>
          <w:b w:val="false"/>
          <w:color w:val="000000"/>
          <w:sz w:val="24"/>
        </w:rPr>
        <w:t xml:space="preserve">means the confidential and proprietary information of the Company or its subsidiaries in whatever form (including in written, oral, visual or electronic form or on any magnetic or optical disc or memory and wherever located) and includes, but is not limited to, information relating to: internal business and management practices and procedures; salary, bonus, and other personal information relating to employees or consultants of the Company or its subsidiaries; corporate financial and business information, strategies and plans of the Company or its subsidiaries; corporate human resource information; litigation affecting the Company or its subsidiaries or their employees, officers, or directors; information relating to customers; marketing plans and strategies; product information; market information, processes, trade secrets, inventions, know-how, and methods and procedures of operation; information relating to suppliers, advertising, contractual relations, performance, sales, pricing, financial, ideas, data, and concepts originated by the Company or its subsidiaries and/or Persons with whom the Company or its subsidiaries may have business relationships;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Confidential Information shall not include information which (i) is or becomes generally available to the public other than as a result of a disclosure by the Participant or its affiliates in violation of this Exhibit B, (ii) which is developed independently by the Participant or its affiliates after the Date of Grant without violating the obligations set forth herein or (iii) is required to be disclosed pursuant to any law or order applicable to the Participant or its affiliates. </w:t>
      </w:r>
    </w:p>
    <w:p>
      <w:pPr>
        <w:pStyle w:val="TextBody"/>
        <w:bidi w:val="0"/>
        <w:spacing w:before="0" w:after="0"/>
        <w:jc w:val="both"/>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B-1</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18 U.S.C. §1833(b) provides: “An individual shall not be held criminally or civilly liable under any Federal or State trade secret law for the disclosure of a trade secret that (i) is made (A) in confidence to a federal, state, or local government official, either directly or indirectly, or to an attorney; and (B) solely for the purpose of reporting or investigating a suspected violation of law; or (ii) is made in a complaint or other document filed in a lawsuit or other proceeding, if such filing is made under seal.” Nothing in this Exhibit B is intended to conflict with 18 U.S.C. §1833(b) or create liability for disclosures of trade secrets that are expressly allowed by 18 U.S.C. §1833(b). Accordingly, the parties to this Exhibit B have the right to disclose in confidence trade secrets to federal, state, and local government officials, or to an attorney, for the sole purpose of reporting or investigating a suspected violation of law. The parties also have the right to disclose trade secrets in a document filed in a lawsuit or other proceeding, but only if the filing is made under seal and protected from public disclosure.</w:t>
      </w:r>
    </w:p>
    <w:p>
      <w:pPr>
        <w:pStyle w:val="TextBody"/>
        <w:bidi w:val="0"/>
        <w:spacing w:lineRule="auto" w:line="288" w:before="0" w:after="240"/>
        <w:jc w:val="both"/>
        <w:rPr/>
      </w:pPr>
      <w:r>
        <w:rPr>
          <w:rFonts w:ascii="Times New Roman;serif" w:hAnsi="Times New Roman;serif"/>
          <w:b/>
          <w:color w:val="000000"/>
          <w:sz w:val="24"/>
        </w:rPr>
        <w:t>2.</w:t>
      </w:r>
      <w:r>
        <w:rPr>
          <w:rFonts w:ascii="Times New Roman;serif" w:hAnsi="Times New Roman;serif"/>
          <w:b/>
          <w:color w:val="000000"/>
          <w:sz w:val="24"/>
          <w:u w:val="single"/>
        </w:rPr>
        <w:t>Non-Competition.</w:t>
      </w:r>
      <w:r>
        <w:rPr>
          <w:color w:val="000000"/>
        </w:rPr>
        <w:t xml:space="preserve"> </w:t>
      </w:r>
      <w:r>
        <w:rPr>
          <w:rFonts w:ascii="Times New Roman;serif" w:hAnsi="Times New Roman;serif"/>
          <w:b w:val="false"/>
          <w:color w:val="000000"/>
          <w:sz w:val="24"/>
        </w:rPr>
        <w:t xml:space="preserve">During the period commencing on the Date of Grant and ending on the first anniversary of the Participant’s termination of employment or service with the Company or its subsidiaries (the “Restricted Period”), the Participant shall not, directly or indirectly, individually or on behalf of any Person, company, enterprise, or entity, or as a sole proprietor, partner, equityholder, director, officer, principal, agent, employee or executive, or in any other capacity or relationship, (i) own any interest in, participate in (whether as a director, officer, employee, member or partner), consult with, render services for (including as an employee), or in any manner engage in, or on behalf of, any business or enterprise, in each case, that is competitive with (A) the business conducted in the Mechanical (including heating, ventilation and air conditioning), Electrical and Plumbing industry and (B) any other business (1) engaged in by the Company or any of its subsidiaries or (2) in which the Company or any of its subsidiaries has taken any actual, concrete steps or is planning to take such actual, concrete steps to conduct business, including by submitting a letter of intention or similar indication of interest, entering into a confidentiality agreement or inclusion in a “deal pipeline” sheet which is presented to the Board, in each case, with respect to the potential acquisition or similar transaction of a business conducting such business activities, in each case, as of the date hereof and through the date of Participant’s last date of employment with the Company or any of its subsidiaries (collectively, the “Business”), within any state, territory, jurisdiction or other locality within the United States in which the Company or its subsidiaries engages in the Business and in which the Participant provided services during the last twenty-four (24) months of the Participant’s employment or service with the Company or its subsidiaries, or (ii) take any preparatory steps to engage in any of the activities described in clause (i) above; provided, however, that nothing in this Section 2 shall prevent the Participant or any of its affiliates from being a passive owner of less than two percent (2%) of any Person’s publicly traded securities, so long as neither the Participant nor any of its affiliates has any active participation in the business thereto. Additionally, nothing in this Section 2 shall prevent the Participant from, following the Participant’s termination of employment or service with the Company or its subsidiaries, being employed or engaged by any person or entity where such work would not involve any level of strategic, advisory, technical, creative, or sales, or other activity similar to that which the Participant provided to the Company or its subsidiaries. </w:t>
      </w:r>
    </w:p>
    <w:p>
      <w:pPr>
        <w:pStyle w:val="TextBody"/>
        <w:bidi w:val="0"/>
        <w:spacing w:before="0" w:after="0"/>
        <w:jc w:val="both"/>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385445"/>
                <wp:effectExtent l="0" t="0" r="0" b="0"/>
                <wp:wrapNone/>
                <wp:docPr id="69" name="Frame6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color w:val="000000"/>
          <w:sz w:val="24"/>
        </w:rPr>
        <w:t>3.</w:t>
      </w:r>
      <w:r>
        <w:rPr>
          <w:rFonts w:ascii="Times New Roman;serif" w:hAnsi="Times New Roman;serif"/>
          <w:b/>
          <w:color w:val="000000"/>
          <w:sz w:val="24"/>
          <w:u w:val="single"/>
        </w:rPr>
        <w:t>Non-Solicitation.</w:t>
      </w:r>
      <w:r>
        <w:rPr>
          <w:color w:val="000000"/>
        </w:rPr>
        <w:t xml:space="preserve"> </w:t>
      </w:r>
      <w:r>
        <w:rPr>
          <w:rFonts w:ascii="Times New Roman;serif" w:hAnsi="Times New Roman;serif"/>
          <w:b w:val="false"/>
          <w:color w:val="000000"/>
          <w:sz w:val="24"/>
        </w:rPr>
        <w:t>During the Restricted Period, the Participant shall not, directly or indirectly, (a) for purposes of engaging in competition with the Business, solicit or induce, or in any manner attempt to solicit or induce, any employee, independent contractor, consultant, or other individual service provider of the Company or its subsidiaries to terminate his or her employment or services (or in the case of a consultant, materially reducing such services) or in any way interfere with or disrupt the relationship between any such Person and the Company or its subsidiaries, (b) for purposes of engaging in competition with the Business, hire or engage any individual that is or within twelve (12) months of such proposed hiring or engagement was an employee or independent contractor of the Company or its subsidiaries or (c) solicit or induce, or in any manner attempt to solicit or induce, any customer, client, or other business relation of the Company or any of its subsidiaries with whom the Participant had material contact or about whom the Participant obtained Confidential Information during the Participant’s employment or service to cease doing business with, reduce the amount of business conducted with, or alter the terms of the relationship with, the Company or its subsidiaries or in any way interfere with the relationship between any such customer, client, or business relation and the Company or its subsidiaries; provided, that generalized advertisement of employment opportunities including in trade or industry publications (not focused specifically on or directed in any way at the employees or an employee of Company or its subsidiaries) shall not be deemed to cause a breach of this Section 3.</w:t>
      </w:r>
    </w:p>
    <w:p>
      <w:pPr>
        <w:pStyle w:val="TextBody"/>
        <w:bidi w:val="0"/>
        <w:spacing w:lineRule="auto" w:line="288" w:before="0" w:after="240"/>
        <w:jc w:val="both"/>
        <w:rPr/>
      </w:pPr>
      <w:r>
        <w:rPr>
          <w:rFonts w:ascii="Times New Roman;serif" w:hAnsi="Times New Roman;serif"/>
          <w:b/>
          <w:color w:val="000000"/>
          <w:sz w:val="24"/>
        </w:rPr>
        <w:t>4.</w:t>
      </w:r>
      <w:r>
        <w:rPr>
          <w:rFonts w:ascii="Times New Roman;serif" w:hAnsi="Times New Roman;serif"/>
          <w:b/>
          <w:color w:val="000000"/>
          <w:sz w:val="24"/>
          <w:u w:val="single"/>
        </w:rPr>
        <w:t>Non-Disparagement.</w:t>
      </w:r>
      <w:r>
        <w:rPr>
          <w:color w:val="000000"/>
        </w:rPr>
        <w:t xml:space="preserve"> </w:t>
      </w:r>
      <w:r>
        <w:rPr>
          <w:rFonts w:ascii="Times New Roman;serif" w:hAnsi="Times New Roman;serif"/>
          <w:b w:val="false"/>
          <w:color w:val="000000"/>
          <w:sz w:val="24"/>
        </w:rPr>
        <w:t xml:space="preserve">The Participant agrees that, subject to Section 8 below, from and after the Date of Grant through the Restricted Period, the Participant will not, and will cause each of its controlled affiliates not to, make, publish, or communicate any Disparaging Statements regarding the Company or its subsidiaries or their affiliates (or their respective businesses, products or services), or their respective current or former directors, officers, managers, members, partners, employees or direct or indirect equityholders. “Disparaging Statement” means any written or oral statement of fact that is false and that is intended to, or would reasonably be expected to, materially harm the reputation of the subject thereof; for the avoidance of doubt, statements of opinion (that do not imply false, undisclosed facts), privileged communications, and truthful statements made without malice shall not constitute Disparaging Statements. Notwithstanding the foregoing, nothing in this Section 4 shall prohibit the Participant from complying with any applicable law or regulation or a valid order of a court of competent jurisdiction or administrative or arbitral proceedings or an authorized government agency or truthful testimony given in response to a lawful subpoena. </w:t>
      </w:r>
    </w:p>
    <w:p>
      <w:pPr>
        <w:pStyle w:val="TextBody"/>
        <w:bidi w:val="0"/>
        <w:spacing w:lineRule="auto" w:line="288" w:before="0" w:after="240"/>
        <w:jc w:val="both"/>
        <w:rPr/>
      </w:pPr>
      <w:r>
        <w:rPr>
          <w:rFonts w:ascii="Times New Roman;serif" w:hAnsi="Times New Roman;serif"/>
          <w:b/>
          <w:color w:val="000000"/>
          <w:sz w:val="24"/>
        </w:rPr>
        <w:t>5.</w:t>
      </w:r>
      <w:r>
        <w:rPr>
          <w:rFonts w:ascii="Times New Roman;serif" w:hAnsi="Times New Roman;serif"/>
          <w:b/>
          <w:color w:val="000000"/>
          <w:sz w:val="24"/>
          <w:u w:val="single"/>
        </w:rPr>
        <w:t>Acknowledgment.</w:t>
      </w:r>
      <w:r>
        <w:rPr>
          <w:color w:val="000000"/>
        </w:rPr>
        <w:t xml:space="preserve"> </w:t>
      </w:r>
      <w:r>
        <w:rPr>
          <w:rFonts w:ascii="Times New Roman;serif" w:hAnsi="Times New Roman;serif"/>
          <w:b w:val="false"/>
          <w:color w:val="000000"/>
          <w:sz w:val="24"/>
        </w:rPr>
        <w:t xml:space="preserve">The Participant acknowledges that (a) the Company and its affiliates would be irreparably damaged if the Participant or any of the Participant’s affiliates were to breach any of the covenants set forth in this Exhibit B, (b) the covenants set forth in this Exhibit B are necessary for the protection of the Company’s and its affiliates’ Confidential Information, trade secrets, customer lists, and other legitimate, protectable business interests, and the Company would not have entered into the Agreement without such covenants, (c) the restrictions contained in this Exhibit B are reasonable with respect to subject matter, time period and geographical area, and (d) the Participant is entering into this Exhibit B in exchange for good, valuable, and mutually-agreed-upon consideration that is independent of the Participant’s </w:t>
      </w:r>
    </w:p>
    <w:p>
      <w:pPr>
        <w:pStyle w:val="TextBody"/>
        <w:bidi w:val="0"/>
        <w:spacing w:before="0" w:after="0"/>
        <w:jc w:val="both"/>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385445"/>
                <wp:effectExtent l="0" t="0" r="0" b="0"/>
                <wp:wrapNone/>
                <wp:docPr id="70" name="Frame7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employment with the Company, including, without limitation, the grant of Option contemplated by the Agreement.</w:t>
      </w:r>
    </w:p>
    <w:p>
      <w:pPr>
        <w:pStyle w:val="TextBody"/>
        <w:bidi w:val="0"/>
        <w:spacing w:lineRule="auto" w:line="288" w:before="0" w:after="240"/>
        <w:jc w:val="both"/>
        <w:rPr/>
      </w:pPr>
      <w:r>
        <w:rPr>
          <w:rFonts w:ascii="Times New Roman;serif" w:hAnsi="Times New Roman;serif"/>
          <w:b/>
          <w:color w:val="000000"/>
          <w:sz w:val="24"/>
        </w:rPr>
        <w:t>6.</w:t>
      </w:r>
      <w:r>
        <w:rPr>
          <w:rFonts w:ascii="Times New Roman;serif" w:hAnsi="Times New Roman;serif"/>
          <w:b/>
          <w:color w:val="000000"/>
          <w:sz w:val="24"/>
          <w:u w:val="single"/>
        </w:rPr>
        <w:t>Injunctive Relief; Modification.</w:t>
      </w:r>
      <w:r>
        <w:rPr>
          <w:color w:val="000000"/>
        </w:rPr>
        <w:t xml:space="preserve"> </w:t>
      </w:r>
      <w:r>
        <w:rPr>
          <w:rFonts w:ascii="Times New Roman;serif" w:hAnsi="Times New Roman;serif"/>
          <w:b w:val="false"/>
          <w:color w:val="000000"/>
          <w:sz w:val="24"/>
        </w:rPr>
        <w:t>The Participant agrees that the Company would suffer irreparable harm and continuing damage for which money damages would be insufficient if the Participant was to breach any of the restrictions in this Exhibit B. As such, the Participant agrees that in the event of any such breach, the Company will be entitled to an injunction, a decree for specific performance, other equitable relief in a court of appropriate jurisdiction, and all other relief as may be proper (including money damages if appropriate), to the extent permitted by law, without the need to post any bond. If a court or arbitrator of competent jurisdiction finds any of the restrictions in this Exhibit B to be excessively broad as to duration, activity, or subject, it is the intention of the parties that such court or arbitrator shall modify such restrictions so as to render them enforceable to the maximum extent allowed by applicable law, and shall enforce them as so modified.</w:t>
      </w:r>
    </w:p>
    <w:p>
      <w:pPr>
        <w:pStyle w:val="TextBody"/>
        <w:bidi w:val="0"/>
        <w:spacing w:lineRule="auto" w:line="288" w:before="0" w:after="240"/>
        <w:jc w:val="both"/>
        <w:rPr/>
      </w:pPr>
      <w:r>
        <w:rPr>
          <w:rFonts w:ascii="Times New Roman;serif" w:hAnsi="Times New Roman;serif"/>
          <w:b/>
          <w:color w:val="000000"/>
          <w:sz w:val="24"/>
        </w:rPr>
        <w:t>7.</w:t>
      </w:r>
      <w:r>
        <w:rPr>
          <w:rFonts w:ascii="Times New Roman;serif" w:hAnsi="Times New Roman;serif"/>
          <w:b/>
          <w:color w:val="000000"/>
          <w:sz w:val="24"/>
          <w:u w:val="single"/>
        </w:rPr>
        <w:t>Amendments; Definitions.</w:t>
      </w:r>
      <w:r>
        <w:rPr>
          <w:color w:val="000000"/>
        </w:rPr>
        <w:t xml:space="preserve"> </w:t>
      </w:r>
      <w:r>
        <w:rPr>
          <w:rFonts w:ascii="Times New Roman;serif" w:hAnsi="Times New Roman;serif"/>
          <w:b w:val="false"/>
          <w:color w:val="000000"/>
          <w:sz w:val="24"/>
        </w:rPr>
        <w:t>Without limiting the foregoing, the Company may amend any restrictive covenant provisions or obligations herein without the Participant’s consent or approval to provide for less restrictive limitations as to duration, geographical area, scope of activity to be restrained, or to incorporate legal developments that do not make any limitations herein more restrictive. Capitalized terms used but not defined in this Exhibit B shall have the meanings ascribed to such terms in the Stock Option Agreement to which this Exhibit B is attached (the “Agreement”).</w:t>
      </w:r>
    </w:p>
    <w:p>
      <w:pPr>
        <w:pStyle w:val="TextBody"/>
        <w:bidi w:val="0"/>
        <w:spacing w:lineRule="auto" w:line="288" w:before="0" w:after="240"/>
        <w:jc w:val="both"/>
        <w:rPr/>
      </w:pPr>
      <w:r>
        <w:rPr>
          <w:rFonts w:ascii="Times New Roman;serif" w:hAnsi="Times New Roman;serif"/>
          <w:b/>
          <w:color w:val="000000"/>
          <w:sz w:val="24"/>
        </w:rPr>
        <w:t>8.</w:t>
      </w:r>
      <w:r>
        <w:rPr>
          <w:rFonts w:ascii="Times New Roman;serif" w:hAnsi="Times New Roman;serif"/>
          <w:b/>
          <w:color w:val="000000"/>
          <w:sz w:val="24"/>
          <w:u w:val="single"/>
        </w:rPr>
        <w:t>Whistleblower Protections.</w:t>
      </w:r>
      <w:r>
        <w:rPr>
          <w:color w:val="000000"/>
        </w:rPr>
        <w:t xml:space="preserve"> </w:t>
      </w:r>
      <w:r>
        <w:rPr>
          <w:rFonts w:ascii="Times New Roman;serif" w:hAnsi="Times New Roman;serif"/>
          <w:b w:val="false"/>
          <w:color w:val="000000"/>
          <w:sz w:val="24"/>
        </w:rPr>
        <w:t xml:space="preserve">Nothing in this Exhibit B or the Agreement prevents or prohibits the Participant from (a) reporting possible violations of any applicable law or regulation to any governmental agency or entity, including but not limited to, the United States Department of Justice, the United States Securities and Exchange Commission, the United States Congress, and any Inspector General of any United States federal agency (“Governmental Agencies”), or making other disclosures of relevant and necessary information or documents in any action, investigation, or proceeding as required by law or legal process, including with respect to disclosures that are protected under the whistleblower provisions of United States federal, state or local law or regulation, (b) participating, cooperating, or testifying in any action, investigation, or proceeding with, or providing information to, any Governmental Agency, and/or pursuant to the Sarbanes-Oxley Act; (c) seeking or accepting any U.S. Securities and Exchange Commission awards or other relief in connection with protected whistleblower activity; or (d) initiating communications with, or responding to any inquiry from, any regulatory or supervisory authority regarding any good faith concerns about possible violations of law or regulation. Additionally, nothing in this Exhibit B or the Agreement shall prevent the Participant from (i) disclosing or discussing discrimination (including harassment occurring between employees or between an employer and an employee) in the workplace, at work-related events coordinated by or through us, or off the employment premises, (ii) opposing, disclosing, reporting, or participating in an investigation of sexual harassment, or (iii) speaking with law enforcement, the Equal Employment Opportunity Commission, the state division of human rights, a local commission on human rights or an attorney retained by the Participant. </w:t>
      </w:r>
    </w:p>
    <w:p>
      <w:pPr>
        <w:pStyle w:val="TextBody"/>
        <w:bidi w:val="0"/>
        <w:spacing w:before="0" w:after="0"/>
        <w:jc w:val="both"/>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385445"/>
                <wp:effectExtent l="0" t="0" r="0" b="0"/>
                <wp:wrapNone/>
                <wp:docPr id="71" name="Frame7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color w:val="000000"/>
          <w:sz w:val="24"/>
        </w:rPr>
        <w:t>9.</w:t>
      </w:r>
      <w:r>
        <w:rPr>
          <w:color w:val="000000"/>
          <w:u w:val="single"/>
        </w:rPr>
        <w:t xml:space="preserve"> </w:t>
      </w:r>
      <w:r>
        <w:rPr>
          <w:rFonts w:ascii="Times New Roman;serif" w:hAnsi="Times New Roman;serif"/>
          <w:b/>
          <w:color w:val="000000"/>
          <w:sz w:val="24"/>
          <w:u w:val="single"/>
        </w:rPr>
        <w:t>Governing Law.</w:t>
      </w:r>
      <w:r>
        <w:rPr>
          <w:color w:val="000000"/>
        </w:rPr>
        <w:t xml:space="preserve"> </w:t>
      </w:r>
      <w:r>
        <w:rPr>
          <w:rFonts w:ascii="Times New Roman;serif" w:hAnsi="Times New Roman;serif"/>
          <w:b w:val="false"/>
          <w:color w:val="000000"/>
          <w:sz w:val="24"/>
        </w:rPr>
        <w:t>This Exhibit B shall be governed by, and construed in accordance with, the internal laws of the state in which the Participant primarily provides services to the Company or any of its subsidiaries, and any claim, dispute, or proceeding with respect to such Participant arising out of this Exhibit B shall be brought exclusively in the state and federal courts located in such state.</w:t>
      </w:r>
    </w:p>
    <w:p>
      <w:pPr>
        <w:pStyle w:val="TextBody"/>
        <w:bidi w:val="0"/>
        <w:spacing w:lineRule="auto" w:line="288" w:before="0" w:after="240"/>
        <w:jc w:val="both"/>
        <w:rPr/>
      </w:pPr>
      <w:r>
        <w:rPr>
          <w:rFonts w:ascii="Times New Roman;serif" w:hAnsi="Times New Roman;serif"/>
          <w:b/>
          <w:color w:val="000000"/>
          <w:sz w:val="24"/>
        </w:rPr>
        <w:t>10.</w:t>
      </w:r>
      <w:r>
        <w:rPr>
          <w:rFonts w:ascii="Times New Roman;serif" w:hAnsi="Times New Roman;serif"/>
          <w:b/>
          <w:color w:val="000000"/>
          <w:sz w:val="24"/>
          <w:u w:val="single"/>
        </w:rPr>
        <w:t>State Law Modifications.</w:t>
      </w:r>
      <w:r>
        <w:rPr>
          <w:color w:val="000000"/>
        </w:rPr>
        <w:t xml:space="preserve"> </w:t>
      </w:r>
      <w:r>
        <w:rPr>
          <w:rFonts w:ascii="Times New Roman;serif" w:hAnsi="Times New Roman;serif"/>
          <w:b w:val="false"/>
          <w:color w:val="000000"/>
          <w:sz w:val="24"/>
        </w:rPr>
        <w:t>Notwithstanding the foregoing provisions of this Exhibit B, if the Participant primarily resides and provides services to the Company or its subsidiaries in a state listed on Appendix B-1, or if otherwise required with respect to the Participant by the applicable law of a particular state, the modifications set forth on Appendix B-1 for such state shall apply to the Participant.</w:t>
      </w:r>
    </w:p>
    <w:p>
      <w:pPr>
        <w:pStyle w:val="TextBody"/>
        <w:bidi w:val="0"/>
        <w:spacing w:before="0" w:after="240"/>
        <w:ind w:left="0" w:right="0" w:firstLine="180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385445"/>
                <wp:effectExtent l="0" t="0" r="0" b="0"/>
                <wp:wrapNone/>
                <wp:docPr id="72" name="Frame7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Appendix B-1</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Certain Modifications to Restrictive Covenants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Certain foregoing provisions of Exhibit B are hereby modified in certain states as described below. For the avoidance of doubt, except as expressly set forth below, all other terms of the Agreement (including Exhibit B) shall apply to the Participant.</w:t>
      </w:r>
    </w:p>
    <w:p>
      <w:pPr>
        <w:pStyle w:val="TextBody"/>
        <w:bidi w:val="0"/>
        <w:spacing w:lineRule="auto" w:line="288" w:before="0" w:after="240"/>
        <w:jc w:val="left"/>
        <w:rPr>
          <w:rFonts w:ascii="Times New Roman;serif" w:hAnsi="Times New Roman;serif"/>
          <w:b/>
          <w:color w:val="000000"/>
          <w:sz w:val="24"/>
          <w:u w:val="single"/>
        </w:rPr>
      </w:pPr>
      <w:r>
        <w:rPr>
          <w:rFonts w:ascii="Times New Roman;serif" w:hAnsi="Times New Roman;serif"/>
          <w:b/>
          <w:color w:val="000000"/>
          <w:sz w:val="24"/>
          <w:u w:val="single"/>
        </w:rPr>
        <w:t>Arizona</w:t>
      </w:r>
    </w:p>
    <w:p>
      <w:pPr>
        <w:pStyle w:val="TextBody"/>
        <w:bidi w:val="0"/>
        <w:spacing w:lineRule="auto" w:line="288" w:before="0" w:after="240"/>
        <w:jc w:val="both"/>
        <w:rPr/>
      </w:pPr>
      <w:r>
        <w:rPr>
          <w:rFonts w:ascii="Times New Roman;serif" w:hAnsi="Times New Roman;serif"/>
          <w:b w:val="false"/>
          <w:color w:val="000000"/>
          <w:sz w:val="24"/>
          <w:u w:val="single"/>
        </w:rPr>
        <w:t>Section 1(a)</w:t>
      </w:r>
      <w:r>
        <w:rPr>
          <w:rFonts w:ascii="Times New Roman;serif" w:hAnsi="Times New Roman;serif"/>
          <w:b w:val="false"/>
          <w:color w:val="000000"/>
          <w:sz w:val="24"/>
        </w:rPr>
        <w:t xml:space="preserve">: The non-disclosure covenant in </w:t>
      </w:r>
      <w:r>
        <w:rPr>
          <w:rFonts w:ascii="Times New Roman;serif" w:hAnsi="Times New Roman;serif"/>
          <w:b w:val="false"/>
          <w:color w:val="000000"/>
          <w:sz w:val="24"/>
          <w:u w:val="single"/>
        </w:rPr>
        <w:t>Section 1(a)</w:t>
      </w:r>
      <w:r>
        <w:rPr>
          <w:color w:val="000000"/>
        </w:rPr>
        <w:t xml:space="preserve"> </w:t>
      </w:r>
      <w:r>
        <w:rPr>
          <w:rFonts w:ascii="Times New Roman;serif" w:hAnsi="Times New Roman;serif"/>
          <w:b w:val="false"/>
          <w:color w:val="000000"/>
          <w:sz w:val="24"/>
        </w:rPr>
        <w:t>shall apply during the Participant’s employment or service with the Company or its subsidiaries, for a period of five years thereafter, and to the extent the information qualifies as a trade secret under applicable law, at all times thereafter.</w:t>
      </w:r>
    </w:p>
    <w:p>
      <w:pPr>
        <w:pStyle w:val="TextBody"/>
        <w:bidi w:val="0"/>
        <w:spacing w:lineRule="auto" w:line="288" w:before="0" w:after="240"/>
        <w:jc w:val="both"/>
        <w:rPr>
          <w:rFonts w:ascii="Times New Roman;serif" w:hAnsi="Times New Roman;serif"/>
          <w:b/>
          <w:color w:val="000000"/>
          <w:sz w:val="24"/>
          <w:u w:val="single"/>
        </w:rPr>
      </w:pPr>
      <w:r>
        <w:rPr>
          <w:rFonts w:ascii="Times New Roman;serif" w:hAnsi="Times New Roman;serif"/>
          <w:b/>
          <w:color w:val="000000"/>
          <w:sz w:val="24"/>
          <w:u w:val="single"/>
        </w:rPr>
        <w:t>California</w:t>
      </w:r>
    </w:p>
    <w:p>
      <w:pPr>
        <w:pStyle w:val="TextBody"/>
        <w:bidi w:val="0"/>
        <w:spacing w:lineRule="auto" w:line="288" w:before="0" w:after="240"/>
        <w:jc w:val="both"/>
        <w:rPr/>
      </w:pPr>
      <w:r>
        <w:rPr>
          <w:rFonts w:ascii="Times New Roman;serif" w:hAnsi="Times New Roman;serif"/>
          <w:b w:val="false"/>
          <w:color w:val="000000"/>
          <w:sz w:val="24"/>
          <w:u w:val="single"/>
        </w:rPr>
        <w:t>Section 2 and Section 3</w:t>
      </w:r>
      <w:r>
        <w:rPr>
          <w:rFonts w:ascii="Times New Roman;serif" w:hAnsi="Times New Roman;serif"/>
          <w:b w:val="false"/>
          <w:color w:val="000000"/>
          <w:sz w:val="24"/>
        </w:rPr>
        <w:t xml:space="preserve">: For purposes of </w:t>
      </w:r>
      <w:r>
        <w:rPr>
          <w:rFonts w:ascii="Times New Roman;serif" w:hAnsi="Times New Roman;serif"/>
          <w:b w:val="false"/>
          <w:color w:val="000000"/>
          <w:sz w:val="24"/>
          <w:u w:val="single"/>
        </w:rPr>
        <w:t>Section 2</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3</w:t>
      </w:r>
      <w:r>
        <w:rPr>
          <w:rFonts w:ascii="Times New Roman;serif" w:hAnsi="Times New Roman;serif"/>
          <w:b w:val="false"/>
          <w:color w:val="000000"/>
          <w:sz w:val="24"/>
        </w:rPr>
        <w:t>, the “Restricted Period” shall commence on the Date of Grant and end on the Participant’s termination of employment or service with the Company or its subsidiaries.</w:t>
      </w:r>
    </w:p>
    <w:p>
      <w:pPr>
        <w:pStyle w:val="TextBody"/>
        <w:bidi w:val="0"/>
        <w:spacing w:lineRule="auto" w:line="288" w:before="0" w:after="240"/>
        <w:jc w:val="both"/>
        <w:rPr/>
      </w:pPr>
      <w:r>
        <w:rPr>
          <w:rFonts w:ascii="Times New Roman;serif" w:hAnsi="Times New Roman;serif"/>
          <w:b w:val="false"/>
          <w:color w:val="000000"/>
          <w:sz w:val="24"/>
          <w:u w:val="single"/>
        </w:rPr>
        <w:t>Section 3</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3(b)</w:t>
      </w:r>
      <w:r>
        <w:rPr>
          <w:color w:val="000000"/>
        </w:rPr>
        <w:t xml:space="preserve"> </w:t>
      </w:r>
      <w:r>
        <w:rPr>
          <w:rFonts w:ascii="Times New Roman;serif" w:hAnsi="Times New Roman;serif"/>
          <w:b w:val="false"/>
          <w:color w:val="000000"/>
          <w:sz w:val="24"/>
        </w:rPr>
        <w:t>shall be deemed deleted.</w:t>
      </w:r>
    </w:p>
    <w:p>
      <w:pPr>
        <w:pStyle w:val="TextBody"/>
        <w:bidi w:val="0"/>
        <w:spacing w:lineRule="auto" w:line="288" w:before="0" w:after="240"/>
        <w:jc w:val="both"/>
        <w:rPr/>
      </w:pPr>
      <w:r>
        <w:rPr>
          <w:rFonts w:ascii="Times New Roman;serif" w:hAnsi="Times New Roman;serif"/>
          <w:b w:val="false"/>
          <w:color w:val="000000"/>
          <w:sz w:val="24"/>
          <w:u w:val="single"/>
        </w:rPr>
        <w:t>Section 8</w:t>
      </w:r>
      <w:r>
        <w:rPr>
          <w:rFonts w:ascii="Times New Roman;serif" w:hAnsi="Times New Roman;serif"/>
          <w:b w:val="false"/>
          <w:color w:val="000000"/>
          <w:sz w:val="24"/>
        </w:rPr>
        <w:t xml:space="preserve">: The following shall be added to the end of </w:t>
      </w:r>
      <w:r>
        <w:rPr>
          <w:rFonts w:ascii="Times New Roman;serif" w:hAnsi="Times New Roman;serif"/>
          <w:b w:val="false"/>
          <w:color w:val="000000"/>
          <w:sz w:val="24"/>
          <w:u w:val="single"/>
        </w:rPr>
        <w:t>Section 8</w:t>
      </w:r>
      <w:r>
        <w:rPr>
          <w:rFonts w:ascii="Times New Roman;serif" w:hAnsi="Times New Roman;serif"/>
          <w:b w:val="false"/>
          <w:color w:val="000000"/>
          <w:sz w:val="24"/>
        </w:rPr>
        <w:t>:</w:t>
      </w:r>
    </w:p>
    <w:p>
      <w:pPr>
        <w:pStyle w:val="TextBody"/>
        <w:bidi w:val="0"/>
        <w:spacing w:lineRule="auto" w:line="288" w:before="0" w:after="240"/>
        <w:jc w:val="both"/>
        <w:rPr>
          <w:color w:val="000000"/>
        </w:rPr>
      </w:pPr>
      <w:r>
        <w:rPr>
          <w:color w:val="000000"/>
        </w:rPr>
        <w:t>“</w:t>
      </w:r>
      <w:r>
        <w:rPr>
          <w:rFonts w:ascii="Times New Roman;serif" w:hAnsi="Times New Roman;serif"/>
          <w:b w:val="false"/>
          <w:color w:val="000000"/>
          <w:sz w:val="24"/>
        </w:rPr>
        <w:t>The Participant acknowledges that nothing in this Exhibit B or the Agreement prohibits or restricts the Participant from discussing or disclosing information about unlawful acts in the workplace, such as harassment or discrimination or any other conduct that the Participant has reason to believe is unlawful.”</w:t>
      </w:r>
    </w:p>
    <w:p>
      <w:pPr>
        <w:pStyle w:val="TextBody"/>
        <w:bidi w:val="0"/>
        <w:spacing w:lineRule="auto" w:line="288" w:before="0" w:after="240"/>
        <w:jc w:val="both"/>
        <w:rPr>
          <w:rFonts w:ascii="Times New Roman;serif" w:hAnsi="Times New Roman;serif"/>
          <w:b/>
          <w:color w:val="000000"/>
          <w:sz w:val="24"/>
          <w:u w:val="single"/>
        </w:rPr>
      </w:pPr>
      <w:r>
        <w:rPr>
          <w:rFonts w:ascii="Times New Roman;serif" w:hAnsi="Times New Roman;serif"/>
          <w:b/>
          <w:color w:val="000000"/>
          <w:sz w:val="24"/>
          <w:u w:val="single"/>
        </w:rPr>
        <w:t>Colorado</w:t>
      </w:r>
    </w:p>
    <w:p>
      <w:pPr>
        <w:pStyle w:val="TextBody"/>
        <w:bidi w:val="0"/>
        <w:spacing w:lineRule="auto" w:line="288" w:before="0" w:after="240"/>
        <w:jc w:val="both"/>
        <w:rPr/>
      </w:pPr>
      <w:r>
        <w:rPr>
          <w:rFonts w:ascii="Times New Roman;serif" w:hAnsi="Times New Roman;serif"/>
          <w:b w:val="false"/>
          <w:color w:val="000000"/>
          <w:sz w:val="24"/>
          <w:u w:val="single"/>
        </w:rPr>
        <w:t>Section 1(a)</w:t>
      </w:r>
      <w:r>
        <w:rPr>
          <w:rFonts w:ascii="Times New Roman;serif" w:hAnsi="Times New Roman;serif"/>
          <w:b w:val="false"/>
          <w:color w:val="000000"/>
          <w:sz w:val="24"/>
        </w:rPr>
        <w:t>: “Confidential Information” shall not include information resulting from the Participant’s general training, knowledge, skill, or experience, whether gained on the job or otherwise, information that is readily ascertainable to the public, or information that the Participant otherwise has a right to disclose as legally protected conduct.</w:t>
      </w:r>
    </w:p>
    <w:p>
      <w:pPr>
        <w:pStyle w:val="TextBody"/>
        <w:bidi w:val="0"/>
        <w:spacing w:lineRule="auto" w:line="288" w:before="0" w:after="240"/>
        <w:jc w:val="both"/>
        <w:rPr/>
      </w:pPr>
      <w:r>
        <w:rPr>
          <w:rFonts w:ascii="Times New Roman;serif" w:hAnsi="Times New Roman;serif"/>
          <w:b w:val="false"/>
          <w:color w:val="000000"/>
          <w:sz w:val="24"/>
          <w:u w:val="single"/>
        </w:rPr>
        <w:t>Section 2</w:t>
      </w:r>
      <w:r>
        <w:rPr>
          <w:rFonts w:ascii="Times New Roman;serif" w:hAnsi="Times New Roman;serif"/>
          <w:b w:val="false"/>
          <w:color w:val="000000"/>
          <w:sz w:val="24"/>
        </w:rPr>
        <w:t xml:space="preserve">: For purposes of </w:t>
      </w:r>
      <w:r>
        <w:rPr>
          <w:rFonts w:ascii="Times New Roman;serif" w:hAnsi="Times New Roman;serif"/>
          <w:b w:val="false"/>
          <w:color w:val="000000"/>
          <w:sz w:val="24"/>
          <w:u w:val="single"/>
        </w:rPr>
        <w:t>Section 2</w:t>
      </w:r>
      <w:r>
        <w:rPr>
          <w:rFonts w:ascii="Times New Roman;serif" w:hAnsi="Times New Roman;serif"/>
          <w:b w:val="false"/>
          <w:color w:val="000000"/>
          <w:sz w:val="24"/>
        </w:rPr>
        <w:t>, the post-employment portion of the Restricted Period shall apply only if the Participant earns at or above the threshold amount for highly compensated workers as determined on an annual basis by the Division of Labor Standards of Statistics in the Department of Labor and Employment, as set forth in CO Rev. Stat. 8-2-113.</w:t>
      </w:r>
    </w:p>
    <w:p>
      <w:pPr>
        <w:pStyle w:val="TextBody"/>
        <w:bidi w:val="0"/>
        <w:spacing w:lineRule="auto" w:line="288" w:before="0" w:after="240"/>
        <w:jc w:val="both"/>
        <w:rPr/>
      </w:pPr>
      <w:r>
        <w:rPr>
          <w:rFonts w:ascii="Times New Roman;serif" w:hAnsi="Times New Roman;serif"/>
          <w:b w:val="false"/>
          <w:color w:val="000000"/>
          <w:sz w:val="24"/>
          <w:u w:val="single"/>
        </w:rPr>
        <w:t>Section 3(c)</w:t>
      </w:r>
      <w:r>
        <w:rPr>
          <w:rFonts w:ascii="Times New Roman;serif" w:hAnsi="Times New Roman;serif"/>
          <w:b w:val="false"/>
          <w:color w:val="000000"/>
          <w:sz w:val="24"/>
        </w:rPr>
        <w:t xml:space="preserve">: For purposes of </w:t>
      </w:r>
      <w:r>
        <w:rPr>
          <w:rFonts w:ascii="Times New Roman;serif" w:hAnsi="Times New Roman;serif"/>
          <w:b w:val="false"/>
          <w:color w:val="000000"/>
          <w:sz w:val="24"/>
          <w:u w:val="single"/>
        </w:rPr>
        <w:t>Section 3(c)</w:t>
      </w:r>
      <w:r>
        <w:rPr>
          <w:rFonts w:ascii="Times New Roman;serif" w:hAnsi="Times New Roman;serif"/>
          <w:b w:val="false"/>
          <w:color w:val="000000"/>
          <w:sz w:val="24"/>
        </w:rPr>
        <w:t>, the post-employment portion of the Restricted Period shall apply only if you earn at least 60% of the amount for highly compensated workers as determined on an annual basis by the Division of Labor Standards of Statistics in the Department of Labor and Employment in annual compensation, as set forth in CO Rev. Stat. 8-2-113.</w:t>
      </w:r>
    </w:p>
    <w:p>
      <w:pPr>
        <w:pStyle w:val="TextBody"/>
        <w:bidi w:val="0"/>
        <w:spacing w:before="0" w:after="0"/>
        <w:jc w:val="both"/>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385445"/>
                <wp:effectExtent l="0" t="0" r="0" b="0"/>
                <wp:wrapNone/>
                <wp:docPr id="73" name="Frame7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u w:val="single"/>
        </w:rPr>
        <w:t>Section 5</w:t>
      </w:r>
      <w:r>
        <w:rPr>
          <w:rFonts w:ascii="Times New Roman;serif" w:hAnsi="Times New Roman;serif"/>
          <w:b w:val="false"/>
          <w:color w:val="000000"/>
          <w:sz w:val="24"/>
        </w:rPr>
        <w:t xml:space="preserve">: The following shall be added to the end of </w:t>
      </w:r>
      <w:r>
        <w:rPr>
          <w:rFonts w:ascii="Times New Roman;serif" w:hAnsi="Times New Roman;serif"/>
          <w:b w:val="false"/>
          <w:color w:val="000000"/>
          <w:sz w:val="24"/>
          <w:u w:val="single"/>
        </w:rPr>
        <w:t>Section 5</w:t>
      </w:r>
      <w:r>
        <w:rPr>
          <w:rFonts w:ascii="Times New Roman;serif" w:hAnsi="Times New Roman;serif"/>
          <w:b w:val="false"/>
          <w:color w:val="000000"/>
          <w:sz w:val="24"/>
        </w:rPr>
        <w:t>:</w:t>
      </w:r>
    </w:p>
    <w:p>
      <w:pPr>
        <w:pStyle w:val="TextBody"/>
        <w:bidi w:val="0"/>
        <w:spacing w:lineRule="auto" w:line="288" w:before="0" w:after="240"/>
        <w:jc w:val="both"/>
        <w:rPr>
          <w:color w:val="000000"/>
        </w:rPr>
      </w:pPr>
      <w:r>
        <w:rPr>
          <w:color w:val="000000"/>
        </w:rPr>
        <w:t>“</w:t>
      </w:r>
      <w:r>
        <w:rPr>
          <w:rFonts w:ascii="Times New Roman;serif" w:hAnsi="Times New Roman;serif"/>
          <w:b w:val="false"/>
          <w:color w:val="000000"/>
          <w:sz w:val="24"/>
        </w:rPr>
        <w:t>The Participant further acknowledges and agrees that the restrictions contained in this Exhibit B are intended to protect, and no broader than reasonably necessary for the protection of, the Company’s and its subsidiaries’ trade secrets.”</w:t>
      </w:r>
    </w:p>
    <w:p>
      <w:pPr>
        <w:pStyle w:val="TextBody"/>
        <w:bidi w:val="0"/>
        <w:spacing w:lineRule="auto" w:line="288" w:before="0" w:after="240"/>
        <w:jc w:val="both"/>
        <w:rPr/>
      </w:pPr>
      <w:r>
        <w:rPr>
          <w:rFonts w:ascii="Times New Roman;serif" w:hAnsi="Times New Roman;serif"/>
          <w:b w:val="false"/>
          <w:color w:val="000000"/>
          <w:sz w:val="24"/>
          <w:u w:val="single"/>
        </w:rPr>
        <w:t>Section 8</w:t>
      </w:r>
      <w:r>
        <w:rPr>
          <w:rFonts w:ascii="Times New Roman;serif" w:hAnsi="Times New Roman;serif"/>
          <w:b w:val="false"/>
          <w:color w:val="000000"/>
          <w:sz w:val="24"/>
        </w:rPr>
        <w:t xml:space="preserve">: The following shall be added to the end of </w:t>
      </w:r>
      <w:r>
        <w:rPr>
          <w:rFonts w:ascii="Times New Roman;serif" w:hAnsi="Times New Roman;serif"/>
          <w:b w:val="false"/>
          <w:color w:val="000000"/>
          <w:sz w:val="24"/>
          <w:u w:val="single"/>
        </w:rPr>
        <w:t>Section 8</w:t>
      </w:r>
      <w:r>
        <w:rPr>
          <w:rFonts w:ascii="Times New Roman;serif" w:hAnsi="Times New Roman;serif"/>
          <w:b w:val="false"/>
          <w:color w:val="000000"/>
          <w:sz w:val="24"/>
        </w:rPr>
        <w:t>:</w:t>
      </w:r>
    </w:p>
    <w:p>
      <w:pPr>
        <w:pStyle w:val="TextBody"/>
        <w:bidi w:val="0"/>
        <w:spacing w:lineRule="auto" w:line="288" w:before="0" w:after="240"/>
        <w:jc w:val="both"/>
        <w:rPr>
          <w:color w:val="000000"/>
        </w:rPr>
      </w:pPr>
      <w:r>
        <w:rPr>
          <w:color w:val="000000"/>
        </w:rPr>
        <w:t>“</w:t>
      </w:r>
      <w:r>
        <w:rPr>
          <w:rFonts w:ascii="Times New Roman;serif" w:hAnsi="Times New Roman;serif"/>
          <w:b w:val="false"/>
          <w:color w:val="000000"/>
          <w:sz w:val="24"/>
        </w:rPr>
        <w:t>Additionally, nothing in the Agreement or this Exhibit B shall prevent the Participant from discussing or disclosing (whether orally or in writing) information about any alleged discriminatory or unfair employment practice or unlawful acts in the workplace, such as harassment or discrimination, or any other conduct the Participant has reason to believe is unlawful.”</w:t>
      </w:r>
    </w:p>
    <w:p>
      <w:pPr>
        <w:pStyle w:val="TextBody"/>
        <w:bidi w:val="0"/>
        <w:spacing w:lineRule="auto" w:line="288" w:before="0" w:after="240"/>
        <w:jc w:val="both"/>
        <w:rPr/>
      </w:pPr>
      <w:r>
        <w:rPr>
          <w:rFonts w:ascii="Times New Roman;serif" w:hAnsi="Times New Roman;serif"/>
          <w:b w:val="false"/>
          <w:color w:val="000000"/>
          <w:sz w:val="24"/>
          <w:u w:val="single"/>
        </w:rPr>
        <w:t>Section 11</w:t>
      </w:r>
      <w:r>
        <w:rPr>
          <w:rFonts w:ascii="Times New Roman;serif" w:hAnsi="Times New Roman;serif"/>
          <w:b w:val="false"/>
          <w:color w:val="000000"/>
          <w:sz w:val="24"/>
        </w:rPr>
        <w:t xml:space="preserve">: The following shall be added as a new </w:t>
      </w:r>
      <w:r>
        <w:rPr>
          <w:rFonts w:ascii="Times New Roman;serif" w:hAnsi="Times New Roman;serif"/>
          <w:b w:val="false"/>
          <w:color w:val="000000"/>
          <w:sz w:val="24"/>
          <w:u w:val="single"/>
        </w:rPr>
        <w:t>Section 11</w:t>
      </w:r>
      <w:r>
        <w:rPr>
          <w:color w:val="000000"/>
        </w:rPr>
        <w:t xml:space="preserve"> </w:t>
      </w:r>
      <w:r>
        <w:rPr>
          <w:rFonts w:ascii="Times New Roman;serif" w:hAnsi="Times New Roman;serif"/>
          <w:b w:val="false"/>
          <w:color w:val="000000"/>
          <w:sz w:val="24"/>
        </w:rPr>
        <w:t>titled “</w:t>
      </w:r>
      <w:r>
        <w:rPr>
          <w:rFonts w:ascii="Times New Roman;serif" w:hAnsi="Times New Roman;serif"/>
          <w:b w:val="false"/>
          <w:color w:val="000000"/>
          <w:sz w:val="24"/>
          <w:u w:val="single"/>
        </w:rPr>
        <w:t>Notice</w:t>
      </w:r>
      <w:r>
        <w:rPr>
          <w:color w:val="000000"/>
        </w:rPr>
        <w:t>”</w:t>
      </w:r>
      <w:r>
        <w:rPr>
          <w:rFonts w:ascii="Times New Roman;serif" w:hAnsi="Times New Roman;serif"/>
          <w:b w:val="false"/>
          <w:color w:val="000000"/>
          <w:sz w:val="24"/>
        </w:rPr>
        <w:t>:</w:t>
      </w:r>
    </w:p>
    <w:p>
      <w:pPr>
        <w:pStyle w:val="TextBody"/>
        <w:bidi w:val="0"/>
        <w:spacing w:lineRule="auto" w:line="288" w:before="0" w:after="240"/>
        <w:jc w:val="both"/>
        <w:rPr/>
      </w:pPr>
      <w:r>
        <w:rPr>
          <w:color w:val="000000"/>
        </w:rPr>
        <w:t>“</w:t>
      </w:r>
      <w:r>
        <w:rPr>
          <w:rFonts w:ascii="Times New Roman;serif" w:hAnsi="Times New Roman;serif"/>
          <w:b w:val="false"/>
          <w:color w:val="000000"/>
          <w:sz w:val="24"/>
        </w:rPr>
        <w:t>The Participant acknowledges receipt of a separate notice that the Company has provided to the Participant contemporaneously with the Agreement and this Exhibit B which identifies this Exhibit B by name, states that this Exhibit B contains non-competition and non-solicitation covenants that could restrict the Participant’s options for subsequent employment following the termination of the Participant’s employment or service with the Company or its subsidiaries, and directs Participant to the specific sections of this Exhibit B containing such covenants (the “</w:t>
      </w:r>
      <w:r>
        <w:rPr>
          <w:rFonts w:ascii="Times New Roman;serif" w:hAnsi="Times New Roman;serif"/>
          <w:b w:val="false"/>
          <w:color w:val="000000"/>
          <w:sz w:val="24"/>
          <w:u w:val="single"/>
        </w:rPr>
        <w:t>Notice</w:t>
      </w:r>
      <w:r>
        <w:rPr>
          <w:color w:val="000000"/>
        </w:rPr>
        <w:t>”</w:t>
      </w:r>
      <w:r>
        <w:rPr>
          <w:rFonts w:ascii="Times New Roman;serif" w:hAnsi="Times New Roman;serif"/>
          <w:b w:val="false"/>
          <w:color w:val="000000"/>
          <w:sz w:val="24"/>
        </w:rPr>
        <w:t xml:space="preserve">). The Participant acknowledges receipt of this Exhibit B (inclusive of the restrictions in </w:t>
      </w:r>
      <w:r>
        <w:rPr>
          <w:rFonts w:ascii="Times New Roman;serif" w:hAnsi="Times New Roman;serif"/>
          <w:b w:val="false"/>
          <w:color w:val="000000"/>
          <w:sz w:val="24"/>
          <w:u w:val="single"/>
        </w:rPr>
        <w:t>Section 2</w:t>
      </w:r>
      <w:r>
        <w:rPr>
          <w:rFonts w:ascii="Times New Roman;serif" w:hAnsi="Times New Roman;serif"/>
          <w:b w:val="false"/>
          <w:color w:val="000000"/>
          <w:sz w:val="24"/>
        </w:rPr>
        <w:t xml:space="preserve">) and such separate Notice from the Company at least fourteen (14) days before the earlier of the effective date of the restrictions in </w:t>
      </w:r>
      <w:r>
        <w:rPr>
          <w:rFonts w:ascii="Times New Roman;serif" w:hAnsi="Times New Roman;serif"/>
          <w:b w:val="false"/>
          <w:color w:val="000000"/>
          <w:sz w:val="24"/>
          <w:u w:val="single"/>
        </w:rPr>
        <w:t>Section 2</w:t>
      </w:r>
      <w:r>
        <w:rPr>
          <w:rFonts w:ascii="Times New Roman;serif" w:hAnsi="Times New Roman;serif"/>
          <w:b w:val="false"/>
          <w:color w:val="000000"/>
          <w:sz w:val="24"/>
        </w:rPr>
        <w:t xml:space="preserve">, or the effective date of the consideration for the restrictions in </w:t>
      </w:r>
      <w:r>
        <w:rPr>
          <w:rFonts w:ascii="Times New Roman;serif" w:hAnsi="Times New Roman;serif"/>
          <w:b w:val="false"/>
          <w:color w:val="000000"/>
          <w:sz w:val="24"/>
          <w:u w:val="single"/>
        </w:rPr>
        <w:t>Section 2</w:t>
      </w:r>
      <w:r>
        <w:rPr>
          <w:rFonts w:ascii="Times New Roman;serif" w:hAnsi="Times New Roman;serif"/>
          <w:b w:val="false"/>
          <w:color w:val="000000"/>
          <w:sz w:val="24"/>
        </w:rPr>
        <w:t>.  Notwithstanding anything in this Exhibit B to the contrary, this Exhibit B will not become effective until the later of (A) the date that the Agreement (inclusive of this Exhibit B) was executed by both of the parties and the Notice was executed by the Participant, and (B) the fifteenth (15th) day after the date that the Notice and the Agreement (inclusive of this Exhibit B) were delivered to the Participant.”</w:t>
      </w:r>
    </w:p>
    <w:p>
      <w:pPr>
        <w:pStyle w:val="TextBody"/>
        <w:bidi w:val="0"/>
        <w:spacing w:lineRule="auto" w:line="288" w:before="0" w:after="240"/>
        <w:jc w:val="both"/>
        <w:rPr>
          <w:rFonts w:ascii="Times New Roman;serif" w:hAnsi="Times New Roman;serif"/>
          <w:b/>
          <w:color w:val="000000"/>
          <w:sz w:val="24"/>
          <w:u w:val="single"/>
        </w:rPr>
      </w:pPr>
      <w:r>
        <w:rPr>
          <w:rFonts w:ascii="Times New Roman;serif" w:hAnsi="Times New Roman;serif"/>
          <w:b/>
          <w:color w:val="000000"/>
          <w:sz w:val="24"/>
          <w:u w:val="single"/>
        </w:rPr>
        <w:t>District of Columbia</w:t>
      </w:r>
    </w:p>
    <w:p>
      <w:pPr>
        <w:pStyle w:val="TextBody"/>
        <w:bidi w:val="0"/>
        <w:spacing w:lineRule="auto" w:line="288" w:before="0" w:after="240"/>
        <w:jc w:val="both"/>
        <w:rPr/>
      </w:pPr>
      <w:r>
        <w:rPr>
          <w:rFonts w:ascii="Times New Roman;serif" w:hAnsi="Times New Roman;serif"/>
          <w:b w:val="false"/>
          <w:color w:val="000000"/>
          <w:sz w:val="24"/>
          <w:u w:val="single"/>
        </w:rPr>
        <w:t>Section 2</w:t>
      </w:r>
      <w:r>
        <w:rPr>
          <w:rFonts w:ascii="Times New Roman;serif" w:hAnsi="Times New Roman;serif"/>
          <w:b w:val="false"/>
          <w:color w:val="000000"/>
          <w:sz w:val="24"/>
        </w:rPr>
        <w:t xml:space="preserve">: For purposes of </w:t>
      </w:r>
      <w:r>
        <w:rPr>
          <w:rFonts w:ascii="Times New Roman;serif" w:hAnsi="Times New Roman;serif"/>
          <w:b w:val="false"/>
          <w:color w:val="000000"/>
          <w:sz w:val="24"/>
          <w:u w:val="single"/>
        </w:rPr>
        <w:t>Section 2</w:t>
      </w:r>
      <w:r>
        <w:rPr>
          <w:rFonts w:ascii="Times New Roman;serif" w:hAnsi="Times New Roman;serif"/>
          <w:b w:val="false"/>
          <w:color w:val="000000"/>
          <w:sz w:val="24"/>
        </w:rPr>
        <w:t>, the post-employment portion of the Restricted Period shall apply only if the Participant earn or are reasonably expected to earn at or above the minimum qualifying annual compensation per year (which amount shall increase each year in proportion to the annual average increase, if any, in the Consumer Price Index for All Urban Consumers in the Washington Metropolitan Statistical Area published by the Bureau of Labor Statistics of the United States Department of Labor for the previous calendar year adjusted to the nearest whole dollar) as set forth in DC Code § 32-581.01(6).</w:t>
      </w:r>
    </w:p>
    <w:p>
      <w:pPr>
        <w:pStyle w:val="TextBody"/>
        <w:bidi w:val="0"/>
        <w:spacing w:lineRule="auto" w:line="288" w:before="0" w:after="240"/>
        <w:jc w:val="both"/>
        <w:rPr/>
      </w:pPr>
      <w:r>
        <w:rPr>
          <w:rFonts w:ascii="Times New Roman;serif" w:hAnsi="Times New Roman;serif"/>
          <w:b w:val="false"/>
          <w:color w:val="000000"/>
          <w:sz w:val="24"/>
          <w:u w:val="single"/>
        </w:rPr>
        <w:t>Section 11</w:t>
      </w:r>
      <w:r>
        <w:rPr>
          <w:rFonts w:ascii="Times New Roman;serif" w:hAnsi="Times New Roman;serif"/>
          <w:b w:val="false"/>
          <w:color w:val="000000"/>
          <w:sz w:val="24"/>
        </w:rPr>
        <w:t xml:space="preserve">: The following shall be added as a new </w:t>
      </w:r>
      <w:r>
        <w:rPr>
          <w:rFonts w:ascii="Times New Roman;serif" w:hAnsi="Times New Roman;serif"/>
          <w:b w:val="false"/>
          <w:color w:val="000000"/>
          <w:sz w:val="24"/>
          <w:u w:val="single"/>
        </w:rPr>
        <w:t>Section 11</w:t>
      </w:r>
      <w:r>
        <w:rPr>
          <w:color w:val="000000"/>
        </w:rPr>
        <w:t xml:space="preserve"> </w:t>
      </w:r>
      <w:r>
        <w:rPr>
          <w:rFonts w:ascii="Times New Roman;serif" w:hAnsi="Times New Roman;serif"/>
          <w:b w:val="false"/>
          <w:color w:val="000000"/>
          <w:sz w:val="24"/>
        </w:rPr>
        <w:t>titled “</w:t>
      </w:r>
      <w:r>
        <w:rPr>
          <w:rFonts w:ascii="Times New Roman;serif" w:hAnsi="Times New Roman;serif"/>
          <w:b w:val="false"/>
          <w:color w:val="000000"/>
          <w:sz w:val="24"/>
          <w:u w:val="single"/>
        </w:rPr>
        <w:t>Notice</w:t>
      </w:r>
      <w:r>
        <w:rPr>
          <w:color w:val="000000"/>
        </w:rPr>
        <w:t>”</w:t>
      </w:r>
      <w:r>
        <w:rPr>
          <w:rFonts w:ascii="Times New Roman;serif" w:hAnsi="Times New Roman;serif"/>
          <w:b w:val="false"/>
          <w:color w:val="000000"/>
          <w:sz w:val="24"/>
        </w:rPr>
        <w:t>:</w:t>
      </w:r>
    </w:p>
    <w:p>
      <w:pPr>
        <w:pStyle w:val="TextBody"/>
        <w:bidi w:val="0"/>
        <w:spacing w:lineRule="auto" w:line="288" w:before="0" w:after="240"/>
        <w:jc w:val="both"/>
        <w:rPr/>
      </w:pPr>
      <w:r>
        <w:rPr>
          <w:color w:val="000000"/>
        </w:rPr>
        <w:t>“</w:t>
      </w:r>
      <w:r>
        <w:rPr>
          <w:rFonts w:ascii="Times New Roman;serif" w:hAnsi="Times New Roman;serif"/>
          <w:b w:val="false"/>
          <w:color w:val="000000"/>
          <w:sz w:val="24"/>
        </w:rPr>
        <w:t xml:space="preserve">The Participant acknowledges and agrees that the Participant has had at least fourteen (14) calendar days to review the restrictive covenants set forth in this Exhibit B. To the extent the post-employment portion of the restrictions in </w:t>
      </w:r>
      <w:r>
        <w:rPr>
          <w:rFonts w:ascii="Times New Roman;serif" w:hAnsi="Times New Roman;serif"/>
          <w:b w:val="false"/>
          <w:color w:val="000000"/>
          <w:sz w:val="24"/>
          <w:u w:val="single"/>
        </w:rPr>
        <w:t>Section 2</w:t>
      </w:r>
      <w:r>
        <w:rPr>
          <w:color w:val="000000"/>
        </w:rPr>
        <w:t xml:space="preserve"> </w:t>
      </w:r>
      <w:r>
        <w:rPr>
          <w:rFonts w:ascii="Times New Roman;serif" w:hAnsi="Times New Roman;serif"/>
          <w:b w:val="false"/>
          <w:color w:val="000000"/>
          <w:sz w:val="24"/>
        </w:rPr>
        <w:t xml:space="preserve">apply, the Participant acknowledges </w:t>
      </w:r>
    </w:p>
    <w:p>
      <w:pPr>
        <w:pStyle w:val="TextBody"/>
        <w:bidi w:val="0"/>
        <w:spacing w:before="0" w:after="0"/>
        <w:jc w:val="both"/>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385445"/>
                <wp:effectExtent l="0" t="0" r="0" b="0"/>
                <wp:wrapNone/>
                <wp:docPr id="74" name="Frame7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receipt of the following notice: “The District’s Ban on Non-Compete Agreements Amendment Act of 2020 limits the use of non-compete agreements. It allows employers to request non-compete agreements from highly compensated employees, as that term is defined in the Ban on Non-Compete Agreements Amendment Act of 2020, under certain conditions. The Company has determined that you are a highly compensated employee. For more information about the Ban on Non-Compete Agreements Amendments Act of 2020, contact the District of Columbia Department of Employment Services (DOES).”</w:t>
      </w:r>
    </w:p>
    <w:p>
      <w:pPr>
        <w:pStyle w:val="TextBody"/>
        <w:bidi w:val="0"/>
        <w:spacing w:lineRule="auto" w:line="288" w:before="0" w:after="240"/>
        <w:jc w:val="both"/>
        <w:rPr>
          <w:rFonts w:ascii="Times New Roman;serif" w:hAnsi="Times New Roman;serif"/>
          <w:b/>
          <w:color w:val="000000"/>
          <w:sz w:val="24"/>
          <w:u w:val="single"/>
        </w:rPr>
      </w:pPr>
      <w:r>
        <w:rPr>
          <w:rFonts w:ascii="Times New Roman;serif" w:hAnsi="Times New Roman;serif"/>
          <w:b/>
          <w:color w:val="000000"/>
          <w:sz w:val="24"/>
          <w:u w:val="single"/>
        </w:rPr>
        <w:t>Florida</w:t>
      </w:r>
    </w:p>
    <w:p>
      <w:pPr>
        <w:pStyle w:val="TextBody"/>
        <w:bidi w:val="0"/>
        <w:spacing w:lineRule="auto" w:line="288" w:before="0" w:after="240"/>
        <w:jc w:val="both"/>
        <w:rPr/>
      </w:pPr>
      <w:r>
        <w:rPr>
          <w:rFonts w:ascii="Times New Roman;serif" w:hAnsi="Times New Roman;serif"/>
          <w:b w:val="false"/>
          <w:color w:val="000000"/>
          <w:sz w:val="24"/>
          <w:u w:val="single"/>
        </w:rPr>
        <w:t>Section 1(a)</w:t>
      </w:r>
      <w:r>
        <w:rPr>
          <w:rFonts w:ascii="Times New Roman;serif" w:hAnsi="Times New Roman;serif"/>
          <w:b w:val="false"/>
          <w:color w:val="000000"/>
          <w:sz w:val="24"/>
        </w:rPr>
        <w:t xml:space="preserve">: The non-disclosure covenant in </w:t>
      </w:r>
      <w:r>
        <w:rPr>
          <w:rFonts w:ascii="Times New Roman;serif" w:hAnsi="Times New Roman;serif"/>
          <w:b w:val="false"/>
          <w:color w:val="000000"/>
          <w:sz w:val="24"/>
          <w:u w:val="single"/>
        </w:rPr>
        <w:t>Section 1(a)</w:t>
      </w:r>
      <w:r>
        <w:rPr>
          <w:color w:val="000000"/>
        </w:rPr>
        <w:t xml:space="preserve"> </w:t>
      </w:r>
      <w:r>
        <w:rPr>
          <w:rFonts w:ascii="Times New Roman;serif" w:hAnsi="Times New Roman;serif"/>
          <w:b w:val="false"/>
          <w:color w:val="000000"/>
          <w:sz w:val="24"/>
        </w:rPr>
        <w:t>shall apply during the Participant’s employment or service with the Company or its subsidiaries, for a period of five years thereafter, and to the extent the information qualifies as a trade secret under applicable law, at all times thereafter.</w:t>
      </w:r>
    </w:p>
    <w:p>
      <w:pPr>
        <w:pStyle w:val="TextBody"/>
        <w:bidi w:val="0"/>
        <w:spacing w:lineRule="auto" w:line="288" w:before="0" w:after="240"/>
        <w:jc w:val="both"/>
        <w:rPr/>
      </w:pPr>
      <w:r>
        <w:rPr>
          <w:rFonts w:ascii="Times New Roman;serif" w:hAnsi="Times New Roman;serif"/>
          <w:b w:val="false"/>
          <w:color w:val="000000"/>
          <w:sz w:val="24"/>
          <w:u w:val="single"/>
        </w:rPr>
        <w:t>Section 2</w:t>
      </w:r>
      <w:r>
        <w:rPr>
          <w:rFonts w:ascii="Times New Roman;serif" w:hAnsi="Times New Roman;serif"/>
          <w:b w:val="false"/>
          <w:color w:val="000000"/>
          <w:sz w:val="24"/>
        </w:rPr>
        <w:t xml:space="preserve">: Following the Participant’s employment or service with the Company or its subsidiaries, the restrictions set forth in </w:t>
      </w:r>
      <w:r>
        <w:rPr>
          <w:rFonts w:ascii="Times New Roman;serif" w:hAnsi="Times New Roman;serif"/>
          <w:b w:val="false"/>
          <w:color w:val="000000"/>
          <w:sz w:val="24"/>
          <w:u w:val="single"/>
        </w:rPr>
        <w:t>Section 2</w:t>
      </w:r>
      <w:r>
        <w:rPr>
          <w:color w:val="000000"/>
        </w:rPr>
        <w:t xml:space="preserve"> </w:t>
      </w:r>
      <w:r>
        <w:rPr>
          <w:rFonts w:ascii="Times New Roman;serif" w:hAnsi="Times New Roman;serif"/>
          <w:b w:val="false"/>
          <w:color w:val="000000"/>
          <w:sz w:val="24"/>
        </w:rPr>
        <w:t>will only apply to actions taken by the Participant in a Restricted Capacity. For this purpose, “</w:t>
      </w:r>
      <w:r>
        <w:rPr>
          <w:rFonts w:ascii="Times New Roman;serif" w:hAnsi="Times New Roman;serif"/>
          <w:b w:val="false"/>
          <w:color w:val="000000"/>
          <w:sz w:val="24"/>
          <w:u w:val="single"/>
        </w:rPr>
        <w:t>Restricted Capacity</w:t>
      </w:r>
      <w:r>
        <w:rPr>
          <w:color w:val="000000"/>
        </w:rPr>
        <w:t xml:space="preserve">” </w:t>
      </w:r>
      <w:r>
        <w:rPr>
          <w:rFonts w:ascii="Times New Roman;serif" w:hAnsi="Times New Roman;serif"/>
          <w:b w:val="false"/>
          <w:color w:val="000000"/>
          <w:sz w:val="24"/>
        </w:rPr>
        <w:t>means any role in which (1) the Participant would provide services similar to the services provided to the Company or its subsidiaries during the three (3) years preceding the Participant’s termination of employment or service, or (2) it would be reasonably likely that the Participant would use Confidential Information or customer relationships of the Company or its subsidiaries.</w:t>
      </w:r>
    </w:p>
    <w:p>
      <w:pPr>
        <w:pStyle w:val="TextBody"/>
        <w:bidi w:val="0"/>
        <w:spacing w:lineRule="auto" w:line="288" w:before="0" w:after="240"/>
        <w:jc w:val="both"/>
        <w:rPr/>
      </w:pPr>
      <w:r>
        <w:rPr>
          <w:rFonts w:ascii="Times New Roman;serif" w:hAnsi="Times New Roman;serif"/>
          <w:b w:val="false"/>
          <w:color w:val="000000"/>
          <w:sz w:val="24"/>
          <w:u w:val="single"/>
        </w:rPr>
        <w:t>Section 11</w:t>
      </w:r>
      <w:r>
        <w:rPr>
          <w:rFonts w:ascii="Times New Roman;serif" w:hAnsi="Times New Roman;serif"/>
          <w:b w:val="false"/>
          <w:color w:val="000000"/>
          <w:sz w:val="24"/>
        </w:rPr>
        <w:t xml:space="preserve">: The following shall be added as a new </w:t>
      </w:r>
      <w:r>
        <w:rPr>
          <w:rFonts w:ascii="Times New Roman;serif" w:hAnsi="Times New Roman;serif"/>
          <w:b w:val="false"/>
          <w:color w:val="000000"/>
          <w:sz w:val="24"/>
          <w:u w:val="single"/>
        </w:rPr>
        <w:t>Section 11</w:t>
      </w:r>
      <w:r>
        <w:rPr>
          <w:color w:val="000000"/>
        </w:rPr>
        <w:t xml:space="preserve"> </w:t>
      </w:r>
      <w:r>
        <w:rPr>
          <w:rFonts w:ascii="Times New Roman;serif" w:hAnsi="Times New Roman;serif"/>
          <w:b w:val="false"/>
          <w:color w:val="000000"/>
          <w:sz w:val="24"/>
        </w:rPr>
        <w:t>titled “</w:t>
      </w:r>
      <w:r>
        <w:rPr>
          <w:rFonts w:ascii="Times New Roman;serif" w:hAnsi="Times New Roman;serif"/>
          <w:b w:val="false"/>
          <w:color w:val="000000"/>
          <w:sz w:val="24"/>
          <w:u w:val="single"/>
        </w:rPr>
        <w:t>Notice</w:t>
      </w:r>
      <w:r>
        <w:rPr>
          <w:color w:val="000000"/>
        </w:rPr>
        <w:t>”</w:t>
      </w:r>
      <w:r>
        <w:rPr>
          <w:rFonts w:ascii="Times New Roman;serif" w:hAnsi="Times New Roman;serif"/>
          <w:b w:val="false"/>
          <w:color w:val="000000"/>
          <w:sz w:val="24"/>
        </w:rPr>
        <w:t>:</w:t>
      </w:r>
    </w:p>
    <w:p>
      <w:pPr>
        <w:pStyle w:val="TextBody"/>
        <w:bidi w:val="0"/>
        <w:spacing w:lineRule="auto" w:line="288" w:before="0" w:after="240"/>
        <w:jc w:val="both"/>
        <w:rPr/>
      </w:pPr>
      <w:r>
        <w:rPr>
          <w:rFonts w:ascii="Times New Roman;serif" w:hAnsi="Times New Roman;serif"/>
          <w:b w:val="false"/>
          <w:color w:val="000000"/>
          <w:sz w:val="24"/>
        </w:rPr>
        <w:t xml:space="preserve">The Participant acknowledges that, in the course of Participant’s employment or service with the Company or its subsidiaries, the Participant will receive Confidential Information and/or access to customer relationships of the Company and its subsidiaries. The Participant understands that to the extent the Participant is providing services in violation of </w:t>
      </w:r>
      <w:r>
        <w:rPr>
          <w:rFonts w:ascii="Times New Roman;serif" w:hAnsi="Times New Roman;serif"/>
          <w:b w:val="false"/>
          <w:color w:val="000000"/>
          <w:sz w:val="24"/>
          <w:u w:val="single"/>
        </w:rPr>
        <w:t>Section 2</w:t>
      </w:r>
      <w:r>
        <w:rPr>
          <w:rFonts w:ascii="Times New Roman;serif" w:hAnsi="Times New Roman;serif"/>
          <w:b w:val="false"/>
          <w:color w:val="000000"/>
          <w:sz w:val="24"/>
        </w:rPr>
        <w:t xml:space="preserve">, it would be reasonably likely that the Participant would use Confidential Information and customer relationships to the detriment of the Company and its subsidiaries. The Participant acknowledges that the Participant’s annual compensation is at least twice the annual mean wage of the Florida county where the Participant resides. Additionally, the Participant acknowledges and agrees that the Participant has had at least seven (7) calendar days to review this Exhibit B, including the restrictive covenants set forth in </w:t>
      </w:r>
      <w:r>
        <w:rPr>
          <w:rFonts w:ascii="Times New Roman;serif" w:hAnsi="Times New Roman;serif"/>
          <w:b w:val="false"/>
          <w:color w:val="000000"/>
          <w:sz w:val="24"/>
          <w:u w:val="single"/>
        </w:rPr>
        <w:t>Section 2</w:t>
      </w:r>
      <w:r>
        <w:rPr>
          <w:rFonts w:ascii="Times New Roman;serif" w:hAnsi="Times New Roman;serif"/>
          <w:b w:val="false"/>
          <w:color w:val="000000"/>
          <w:sz w:val="24"/>
        </w:rPr>
        <w:t>. The Participant is hereby advised of the Participant’s right to consult with counsel prior to entering into the Agreement and this Exhibit B.</w:t>
      </w:r>
    </w:p>
    <w:p>
      <w:pPr>
        <w:pStyle w:val="TextBody"/>
        <w:bidi w:val="0"/>
        <w:spacing w:lineRule="auto" w:line="288" w:before="0" w:after="240"/>
        <w:jc w:val="both"/>
        <w:rPr>
          <w:rFonts w:ascii="Times New Roman;serif" w:hAnsi="Times New Roman;serif"/>
          <w:b/>
          <w:color w:val="000000"/>
          <w:sz w:val="24"/>
          <w:u w:val="single"/>
        </w:rPr>
      </w:pPr>
      <w:r>
        <w:rPr>
          <w:rFonts w:ascii="Times New Roman;serif" w:hAnsi="Times New Roman;serif"/>
          <w:b/>
          <w:color w:val="000000"/>
          <w:sz w:val="24"/>
          <w:u w:val="single"/>
        </w:rPr>
        <w:t>Georgia</w:t>
      </w:r>
    </w:p>
    <w:p>
      <w:pPr>
        <w:pStyle w:val="TextBody"/>
        <w:bidi w:val="0"/>
        <w:spacing w:lineRule="auto" w:line="288" w:before="0" w:after="240"/>
        <w:jc w:val="both"/>
        <w:rPr/>
      </w:pPr>
      <w:r>
        <w:rPr>
          <w:rFonts w:ascii="Times New Roman;serif" w:hAnsi="Times New Roman;serif"/>
          <w:b w:val="false"/>
          <w:color w:val="000000"/>
          <w:sz w:val="24"/>
          <w:u w:val="single"/>
        </w:rPr>
        <w:t>Section 1(a)</w:t>
      </w:r>
      <w:r>
        <w:rPr>
          <w:rFonts w:ascii="Times New Roman;serif" w:hAnsi="Times New Roman;serif"/>
          <w:b w:val="false"/>
          <w:color w:val="000000"/>
          <w:sz w:val="24"/>
        </w:rPr>
        <w:t xml:space="preserve">: The non-disclosure covenant in </w:t>
      </w:r>
      <w:r>
        <w:rPr>
          <w:rFonts w:ascii="Times New Roman;serif" w:hAnsi="Times New Roman;serif"/>
          <w:b w:val="false"/>
          <w:color w:val="000000"/>
          <w:sz w:val="24"/>
          <w:u w:val="single"/>
        </w:rPr>
        <w:t>Section 1(a)</w:t>
      </w:r>
      <w:r>
        <w:rPr>
          <w:color w:val="000000"/>
        </w:rPr>
        <w:t xml:space="preserve"> </w:t>
      </w:r>
      <w:r>
        <w:rPr>
          <w:rFonts w:ascii="Times New Roman;serif" w:hAnsi="Times New Roman;serif"/>
          <w:b w:val="false"/>
          <w:color w:val="000000"/>
          <w:sz w:val="24"/>
        </w:rPr>
        <w:t>shall apply during the Participant’s employment or service with the Company or its subsidiaries, for a period of five years thereafter, and to the extent the information qualifies as a trade secret under applicable law, at all times thereafter.</w:t>
      </w:r>
    </w:p>
    <w:p>
      <w:pPr>
        <w:pStyle w:val="TextBody"/>
        <w:bidi w:val="0"/>
        <w:spacing w:lineRule="auto" w:line="288" w:before="0" w:after="240"/>
        <w:jc w:val="both"/>
        <w:rPr/>
      </w:pPr>
      <w:r>
        <w:rPr>
          <w:rFonts w:ascii="Times New Roman;serif" w:hAnsi="Times New Roman;serif"/>
          <w:b w:val="false"/>
          <w:color w:val="000000"/>
          <w:sz w:val="24"/>
          <w:u w:val="single"/>
        </w:rPr>
        <w:t>Section 3(c)</w:t>
      </w:r>
      <w:r>
        <w:rPr>
          <w:rFonts w:ascii="Times New Roman;serif" w:hAnsi="Times New Roman;serif"/>
          <w:b w:val="false"/>
          <w:color w:val="000000"/>
          <w:sz w:val="24"/>
        </w:rPr>
        <w:t xml:space="preserve">: For purposes of </w:t>
      </w:r>
      <w:r>
        <w:rPr>
          <w:rFonts w:ascii="Times New Roman;serif" w:hAnsi="Times New Roman;serif"/>
          <w:b w:val="false"/>
          <w:color w:val="000000"/>
          <w:sz w:val="24"/>
          <w:u w:val="single"/>
        </w:rPr>
        <w:t>Section 3(c)</w:t>
      </w:r>
      <w:r>
        <w:rPr>
          <w:rFonts w:ascii="Times New Roman;serif" w:hAnsi="Times New Roman;serif"/>
          <w:b w:val="false"/>
          <w:color w:val="000000"/>
          <w:sz w:val="24"/>
        </w:rPr>
        <w:t xml:space="preserve">, the post-employment portion of the Restricted Period shall only apply to customers, clients, or other business relations of the Company or any of its </w:t>
      </w:r>
    </w:p>
    <w:p>
      <w:pPr>
        <w:pStyle w:val="TextBody"/>
        <w:bidi w:val="0"/>
        <w:spacing w:before="0" w:after="0"/>
        <w:jc w:val="both"/>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385445"/>
                <wp:effectExtent l="0" t="0" r="0" b="0"/>
                <wp:wrapNone/>
                <wp:docPr id="75" name="Frame7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subsidiaries with whom the Participant had material contact and solely with respect to products and services that are competitive with those provided by the Company and its subsidiaries. </w:t>
      </w:r>
    </w:p>
    <w:p>
      <w:pPr>
        <w:pStyle w:val="TextBody"/>
        <w:bidi w:val="0"/>
        <w:spacing w:lineRule="auto" w:line="288" w:before="0" w:after="240"/>
        <w:jc w:val="both"/>
        <w:rPr>
          <w:rFonts w:ascii="Times New Roman;serif" w:hAnsi="Times New Roman;serif"/>
          <w:b/>
          <w:color w:val="000000"/>
          <w:sz w:val="24"/>
          <w:u w:val="single"/>
        </w:rPr>
      </w:pPr>
      <w:r>
        <w:rPr>
          <w:rFonts w:ascii="Times New Roman;serif" w:hAnsi="Times New Roman;serif"/>
          <w:b/>
          <w:color w:val="000000"/>
          <w:sz w:val="24"/>
          <w:u w:val="single"/>
        </w:rPr>
        <w:t>Illinois</w:t>
      </w:r>
    </w:p>
    <w:p>
      <w:pPr>
        <w:pStyle w:val="TextBody"/>
        <w:bidi w:val="0"/>
        <w:spacing w:lineRule="auto" w:line="288" w:before="0" w:after="240"/>
        <w:jc w:val="both"/>
        <w:rPr/>
      </w:pPr>
      <w:r>
        <w:rPr>
          <w:rFonts w:ascii="Times New Roman;serif" w:hAnsi="Times New Roman;serif"/>
          <w:b w:val="false"/>
          <w:color w:val="000000"/>
          <w:sz w:val="24"/>
          <w:u w:val="single"/>
        </w:rPr>
        <w:t>Section 1(a)</w:t>
      </w:r>
      <w:r>
        <w:rPr>
          <w:rFonts w:ascii="Times New Roman;serif" w:hAnsi="Times New Roman;serif"/>
          <w:b w:val="false"/>
          <w:color w:val="000000"/>
          <w:sz w:val="24"/>
        </w:rPr>
        <w:t xml:space="preserve">: The non-disclosure covenant in </w:t>
      </w:r>
      <w:r>
        <w:rPr>
          <w:rFonts w:ascii="Times New Roman;serif" w:hAnsi="Times New Roman;serif"/>
          <w:b w:val="false"/>
          <w:color w:val="000000"/>
          <w:sz w:val="24"/>
          <w:u w:val="single"/>
        </w:rPr>
        <w:t>Section 1(a)</w:t>
      </w:r>
      <w:r>
        <w:rPr>
          <w:color w:val="000000"/>
        </w:rPr>
        <w:t xml:space="preserve"> </w:t>
      </w:r>
      <w:r>
        <w:rPr>
          <w:rFonts w:ascii="Times New Roman;serif" w:hAnsi="Times New Roman;serif"/>
          <w:b w:val="false"/>
          <w:color w:val="000000"/>
          <w:sz w:val="24"/>
        </w:rPr>
        <w:t>shall apply during the Participant’s employment or service with the Company or its subsidiaries, for a period of five years thereafter, and to the extent the information qualifies as a trade secret under applicable law, at all times thereafter.</w:t>
      </w:r>
    </w:p>
    <w:p>
      <w:pPr>
        <w:pStyle w:val="TextBody"/>
        <w:bidi w:val="0"/>
        <w:spacing w:lineRule="auto" w:line="288" w:before="0" w:after="240"/>
        <w:jc w:val="both"/>
        <w:rPr/>
      </w:pPr>
      <w:r>
        <w:rPr>
          <w:rFonts w:ascii="Times New Roman;serif" w:hAnsi="Times New Roman;serif"/>
          <w:b w:val="false"/>
          <w:color w:val="000000"/>
          <w:sz w:val="24"/>
          <w:u w:val="single"/>
        </w:rPr>
        <w:t>Section 2 and Section 3</w:t>
      </w:r>
      <w:r>
        <w:rPr>
          <w:rFonts w:ascii="Times New Roman;serif" w:hAnsi="Times New Roman;serif"/>
          <w:b w:val="false"/>
          <w:color w:val="000000"/>
          <w:sz w:val="24"/>
        </w:rPr>
        <w:t>: The post-employment portion of the Restricted Period shall apply only if the Participant has actual or expected annual earnings exceeding the thresholds for non-competition covenants and non-solicitation covenants (respectively) as set forth in 820 ILCS 90/10.</w:t>
      </w:r>
    </w:p>
    <w:p>
      <w:pPr>
        <w:pStyle w:val="TextBody"/>
        <w:bidi w:val="0"/>
        <w:spacing w:lineRule="auto" w:line="288" w:before="0" w:after="240"/>
        <w:jc w:val="both"/>
        <w:rPr/>
      </w:pPr>
      <w:r>
        <w:rPr>
          <w:rFonts w:ascii="Times New Roman;serif" w:hAnsi="Times New Roman;serif"/>
          <w:b w:val="false"/>
          <w:color w:val="000000"/>
          <w:sz w:val="24"/>
          <w:u w:val="single"/>
        </w:rPr>
        <w:t>Section 8</w:t>
      </w:r>
      <w:r>
        <w:rPr>
          <w:rFonts w:ascii="Times New Roman;serif" w:hAnsi="Times New Roman;serif"/>
          <w:b w:val="false"/>
          <w:color w:val="000000"/>
          <w:sz w:val="24"/>
        </w:rPr>
        <w:t xml:space="preserve">: The following shall be added to the end of </w:t>
      </w:r>
      <w:r>
        <w:rPr>
          <w:rFonts w:ascii="Times New Roman;serif" w:hAnsi="Times New Roman;serif"/>
          <w:b w:val="false"/>
          <w:color w:val="000000"/>
          <w:sz w:val="24"/>
          <w:u w:val="single"/>
        </w:rPr>
        <w:t>Section 8</w:t>
      </w:r>
      <w:r>
        <w:rPr>
          <w:rFonts w:ascii="Times New Roman;serif" w:hAnsi="Times New Roman;serif"/>
          <w:b w:val="false"/>
          <w:color w:val="000000"/>
          <w:sz w:val="24"/>
        </w:rPr>
        <w:t>:</w:t>
      </w:r>
    </w:p>
    <w:p>
      <w:pPr>
        <w:pStyle w:val="TextBody"/>
        <w:bidi w:val="0"/>
        <w:spacing w:lineRule="auto" w:line="288" w:before="0" w:after="240"/>
        <w:jc w:val="both"/>
        <w:rPr>
          <w:color w:val="000000"/>
        </w:rPr>
      </w:pPr>
      <w:r>
        <w:rPr>
          <w:color w:val="000000"/>
        </w:rPr>
        <w:t>“</w:t>
      </w:r>
      <w:r>
        <w:rPr>
          <w:rFonts w:ascii="Times New Roman;serif" w:hAnsi="Times New Roman;serif"/>
          <w:b w:val="false"/>
          <w:color w:val="000000"/>
          <w:sz w:val="24"/>
        </w:rPr>
        <w:t>Further, nothing herein prohibits, prevents or otherwise restricts the Participant from (A) reporting any good faith allegation of unlawful employment practices to any federal, state or local government agency enforcing discrimination laws; (B) reporting any good faith allegation of criminal conduct to any appropriate federal, state or local official; (C) participating in a proceeding related to unlawful employment practices, including any litigation brought by any federal, state or local government agency or any other person who alleges that the Company Group has violated any state federal, or local law, regulation or rule; (D) making any truthful  statement of disclosures required by law, regulation or legal process; (E) requesting or receiving confidential legal advice;  (F) engaging in concerted activity to address work-related issues; or (G) making truthful statements or disclosures about alleged “unlawful employment practices” as defined in the Illinois Workplace Transparency Act (820 ILCS 96).”</w:t>
      </w:r>
    </w:p>
    <w:p>
      <w:pPr>
        <w:pStyle w:val="TextBody"/>
        <w:bidi w:val="0"/>
        <w:spacing w:lineRule="auto" w:line="288" w:before="0" w:after="240"/>
        <w:jc w:val="both"/>
        <w:rPr/>
      </w:pPr>
      <w:r>
        <w:rPr>
          <w:rFonts w:ascii="Times New Roman;serif" w:hAnsi="Times New Roman;serif"/>
          <w:b w:val="false"/>
          <w:color w:val="000000"/>
          <w:sz w:val="24"/>
          <w:u w:val="single"/>
        </w:rPr>
        <w:t>Section 11</w:t>
      </w:r>
      <w:r>
        <w:rPr>
          <w:rFonts w:ascii="Times New Roman;serif" w:hAnsi="Times New Roman;serif"/>
          <w:b w:val="false"/>
          <w:color w:val="000000"/>
          <w:sz w:val="24"/>
        </w:rPr>
        <w:t xml:space="preserve">: The following shall be added as a new </w:t>
      </w:r>
      <w:r>
        <w:rPr>
          <w:rFonts w:ascii="Times New Roman;serif" w:hAnsi="Times New Roman;serif"/>
          <w:b w:val="false"/>
          <w:color w:val="000000"/>
          <w:sz w:val="24"/>
          <w:u w:val="single"/>
        </w:rPr>
        <w:t>Section 11</w:t>
      </w:r>
      <w:r>
        <w:rPr>
          <w:color w:val="000000"/>
        </w:rPr>
        <w:t xml:space="preserve"> </w:t>
      </w:r>
      <w:r>
        <w:rPr>
          <w:rFonts w:ascii="Times New Roman;serif" w:hAnsi="Times New Roman;serif"/>
          <w:b w:val="false"/>
          <w:color w:val="000000"/>
          <w:sz w:val="24"/>
        </w:rPr>
        <w:t>titled “</w:t>
      </w:r>
      <w:r>
        <w:rPr>
          <w:rFonts w:ascii="Times New Roman;serif" w:hAnsi="Times New Roman;serif"/>
          <w:b w:val="false"/>
          <w:color w:val="000000"/>
          <w:sz w:val="24"/>
          <w:u w:val="single"/>
        </w:rPr>
        <w:t>Notice</w:t>
      </w:r>
      <w:r>
        <w:rPr>
          <w:color w:val="000000"/>
        </w:rPr>
        <w:t>”</w:t>
      </w:r>
      <w:r>
        <w:rPr>
          <w:rFonts w:ascii="Times New Roman;serif" w:hAnsi="Times New Roman;serif"/>
          <w:b w:val="false"/>
          <w:color w:val="000000"/>
          <w:sz w:val="24"/>
        </w:rPr>
        <w:t>:</w:t>
      </w:r>
    </w:p>
    <w:p>
      <w:pPr>
        <w:pStyle w:val="TextBody"/>
        <w:bidi w:val="0"/>
        <w:spacing w:lineRule="auto" w:line="288" w:before="0" w:after="240"/>
        <w:jc w:val="both"/>
        <w:rPr>
          <w:color w:val="000000"/>
        </w:rPr>
      </w:pPr>
      <w:r>
        <w:rPr>
          <w:color w:val="000000"/>
        </w:rPr>
        <w:t>“</w:t>
      </w:r>
      <w:r>
        <w:rPr>
          <w:rFonts w:ascii="Times New Roman;serif" w:hAnsi="Times New Roman;serif"/>
          <w:b w:val="false"/>
          <w:color w:val="000000"/>
          <w:sz w:val="24"/>
        </w:rPr>
        <w:t>The Participant acknowledges and agrees that (i) the Participant has had at least fourteen (14) calendar days to review this Exhibit B, including the restrictive covenants set forth herein, (ii) the Participant has been advised of the Participant’s right to consult with counsel prior to agreeing to be bound by this Exhibit B, including the restrictive covenants set forth herein, and (iii) the restrictions contained in this Exhibit B are supported by valid, sufficient, and mutually-agreed-upon consideration, including the grant of the Option under the Agreement.”</w:t>
      </w:r>
    </w:p>
    <w:p>
      <w:pPr>
        <w:pStyle w:val="TextBody"/>
        <w:bidi w:val="0"/>
        <w:spacing w:lineRule="auto" w:line="288" w:before="0" w:after="240"/>
        <w:jc w:val="both"/>
        <w:rPr>
          <w:rFonts w:ascii="Times New Roman;serif" w:hAnsi="Times New Roman;serif"/>
          <w:b/>
          <w:color w:val="000000"/>
          <w:sz w:val="24"/>
          <w:u w:val="single"/>
        </w:rPr>
      </w:pPr>
      <w:r>
        <w:rPr>
          <w:rFonts w:ascii="Times New Roman;serif" w:hAnsi="Times New Roman;serif"/>
          <w:b/>
          <w:color w:val="000000"/>
          <w:sz w:val="24"/>
          <w:u w:val="single"/>
        </w:rPr>
        <w:t>Massachusetts</w:t>
      </w:r>
    </w:p>
    <w:p>
      <w:pPr>
        <w:pStyle w:val="TextBody"/>
        <w:bidi w:val="0"/>
        <w:spacing w:lineRule="auto" w:line="288" w:before="0" w:after="240"/>
        <w:jc w:val="both"/>
        <w:rPr/>
      </w:pPr>
      <w:r>
        <w:rPr>
          <w:rFonts w:ascii="Times New Roman;serif" w:hAnsi="Times New Roman;serif"/>
          <w:b w:val="false"/>
          <w:color w:val="000000"/>
          <w:sz w:val="24"/>
          <w:u w:val="single"/>
        </w:rPr>
        <w:t>Section 2</w:t>
      </w:r>
      <w:r>
        <w:rPr>
          <w:rFonts w:ascii="Times New Roman;serif" w:hAnsi="Times New Roman;serif"/>
          <w:b w:val="false"/>
          <w:color w:val="000000"/>
          <w:sz w:val="24"/>
        </w:rPr>
        <w:t xml:space="preserve">: The following shall replace </w:t>
      </w:r>
      <w:r>
        <w:rPr>
          <w:rFonts w:ascii="Times New Roman;serif" w:hAnsi="Times New Roman;serif"/>
          <w:b w:val="false"/>
          <w:color w:val="000000"/>
          <w:sz w:val="24"/>
          <w:u w:val="single"/>
        </w:rPr>
        <w:t>Section 2</w:t>
      </w:r>
      <w:r>
        <w:rPr>
          <w:color w:val="000000"/>
        </w:rPr>
        <w:t xml:space="preserve"> </w:t>
      </w:r>
      <w:r>
        <w:rPr>
          <w:rFonts w:ascii="Times New Roman;serif" w:hAnsi="Times New Roman;serif"/>
          <w:b w:val="false"/>
          <w:color w:val="000000"/>
          <w:sz w:val="24"/>
        </w:rPr>
        <w:t>in its entirety:</w:t>
      </w:r>
    </w:p>
    <w:p>
      <w:pPr>
        <w:pStyle w:val="TextBody"/>
        <w:bidi w:val="0"/>
        <w:spacing w:lineRule="auto" w:line="288" w:before="0" w:after="240"/>
        <w:jc w:val="both"/>
        <w:rPr/>
      </w:pPr>
      <w:r>
        <w:rPr>
          <w:color w:val="000000"/>
        </w:rPr>
        <w:t>“</w:t>
      </w:r>
      <w:r>
        <w:rPr>
          <w:rFonts w:ascii="Times New Roman;serif" w:hAnsi="Times New Roman;serif"/>
          <w:b w:val="false"/>
          <w:color w:val="000000"/>
          <w:sz w:val="24"/>
        </w:rPr>
        <w:t>During the period commencing on the Date of Grant and ending on the first anniversary of the Participant’s termination of employment or service with the Company or its subsidiaries (the “</w:t>
      </w:r>
      <w:r>
        <w:rPr>
          <w:rFonts w:ascii="Times New Roman;serif" w:hAnsi="Times New Roman;serif"/>
          <w:b w:val="false"/>
          <w:color w:val="000000"/>
          <w:sz w:val="24"/>
          <w:u w:val="single"/>
        </w:rPr>
        <w:t>Restricted Period</w:t>
      </w:r>
      <w:r>
        <w:rPr>
          <w:color w:val="000000"/>
        </w:rPr>
        <w:t>”</w:t>
      </w:r>
      <w:r>
        <w:rPr>
          <w:rFonts w:ascii="Times New Roman;serif" w:hAnsi="Times New Roman;serif"/>
          <w:b w:val="false"/>
          <w:color w:val="000000"/>
          <w:sz w:val="24"/>
        </w:rPr>
        <w:t xml:space="preserve">), the Participant shall not, directly or indirectly, individually or on behalf of any Person, company, enterprise, or entity, or as a sole proprietor, partner, equityholder, director, </w:t>
      </w:r>
    </w:p>
    <w:p>
      <w:pPr>
        <w:pStyle w:val="TextBody"/>
        <w:bidi w:val="0"/>
        <w:spacing w:before="0" w:after="0"/>
        <w:jc w:val="both"/>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385445"/>
                <wp:effectExtent l="0" t="0" r="0" b="0"/>
                <wp:wrapNone/>
                <wp:docPr id="76" name="Frame7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officer, principal, agent, employee or executive, in each case, in any capacity in which the Participant would provide the same types of services that the Participant provided to the Company or its subsidiaries during the then most recent two (2) years of the Participant’s employment or service, (i) own any interest in, participate in (whether as a director, officer, employee, member or partner), consult with, render services for (including as an employee), or in any manner engage in, or on behalf of, any business or enterprise, in each case, that is competitive with that is competitive with (A) the business conducted in the Mechanical (including heating, ventilation and air conditioning), Electrical and Plumbing industry and (B) any other business (1) engaged in by the Company or any of its subsidiaries or (2) in which the Company or any of its subsidiaries has taken any actual, concrete steps or is planning to take such actual, concrete steps to conduct business, including by submitting a letter of intention or similar indication of interest, entering into a confidentiality agreement or inclusion in a “deal pipeline” sheet which is presented to the Board, in each case, with respect to the potential acquisition or similar transaction of a business conducting such business activities, in each case, as of the date hereof and through the date of Participant’s last date of employment with the Company or any of its subsidiaries (collectively, the “</w:t>
      </w:r>
      <w:r>
        <w:rPr>
          <w:rFonts w:ascii="Times New Roman;serif" w:hAnsi="Times New Roman;serif"/>
          <w:b/>
          <w:color w:val="000000"/>
          <w:sz w:val="24"/>
          <w:u w:val="single"/>
        </w:rPr>
        <w:t>Business</w:t>
      </w:r>
      <w:r>
        <w:rPr>
          <w:color w:val="000000"/>
        </w:rPr>
        <w:t>”</w:t>
      </w:r>
      <w:r>
        <w:rPr>
          <w:rFonts w:ascii="Times New Roman;serif" w:hAnsi="Times New Roman;serif"/>
          <w:b w:val="false"/>
          <w:color w:val="000000"/>
          <w:sz w:val="24"/>
        </w:rPr>
        <w:t xml:space="preserve">), within any state, territory, jurisdiction or other locality within the United States in which the Company or its subsidiaries engages in the Business and in which the Participant provided services or had a material presence or influence during the last twenty-four (24) months of the Participant’s employment or service with the Company or its subsidiaries, or (ii) take any preparatory steps to engage in any of the activities described in clause (i) above; provided, however, that nothing in this </w:t>
      </w:r>
      <w:r>
        <w:rPr>
          <w:rFonts w:ascii="Times New Roman;serif" w:hAnsi="Times New Roman;serif"/>
          <w:b w:val="false"/>
          <w:color w:val="000000"/>
          <w:sz w:val="24"/>
          <w:u w:val="single"/>
        </w:rPr>
        <w:t>Section 2</w:t>
      </w:r>
      <w:r>
        <w:rPr>
          <w:color w:val="000000"/>
        </w:rPr>
        <w:t xml:space="preserve"> </w:t>
      </w:r>
      <w:r>
        <w:rPr>
          <w:rFonts w:ascii="Times New Roman;serif" w:hAnsi="Times New Roman;serif"/>
          <w:b w:val="false"/>
          <w:color w:val="000000"/>
          <w:sz w:val="24"/>
        </w:rPr>
        <w:t xml:space="preserve">shall prevent the Participant or any of its affiliates from being a passive owner of less than two percent (2%) of any Person’s publicly traded securities, so long as neither the Participant nor any of its affiliates has any active participation in the business thereto. Additionally, for purposes of this </w:t>
      </w:r>
      <w:r>
        <w:rPr>
          <w:rFonts w:ascii="Times New Roman;serif" w:hAnsi="Times New Roman;serif"/>
          <w:b w:val="false"/>
          <w:color w:val="000000"/>
          <w:sz w:val="24"/>
          <w:u w:val="single"/>
        </w:rPr>
        <w:t>Section 2</w:t>
      </w:r>
      <w:r>
        <w:rPr>
          <w:rFonts w:ascii="Times New Roman;serif" w:hAnsi="Times New Roman;serif"/>
          <w:b w:val="false"/>
          <w:color w:val="000000"/>
          <w:sz w:val="24"/>
        </w:rPr>
        <w:t>, the post-employment portion of the Restricted Period shall not apply if the Participant is terminated without Cause or because of a layoff. For this purpose, “Cause” means, in addition to Cause as defined in any other agreement between the Participant and the Company or its affiliates, a reasonable and good faith basis for the Company to be dissatisfied with the Participant’s job performance, conduct, or behavior.”</w:t>
      </w:r>
    </w:p>
    <w:p>
      <w:pPr>
        <w:pStyle w:val="TextBody"/>
        <w:bidi w:val="0"/>
        <w:spacing w:lineRule="auto" w:line="288" w:before="0" w:after="240"/>
        <w:jc w:val="both"/>
        <w:rPr/>
      </w:pPr>
      <w:r>
        <w:rPr>
          <w:rFonts w:ascii="Times New Roman;serif" w:hAnsi="Times New Roman;serif"/>
          <w:b w:val="false"/>
          <w:color w:val="000000"/>
          <w:sz w:val="24"/>
          <w:u w:val="single"/>
        </w:rPr>
        <w:t>Section 11</w:t>
      </w:r>
      <w:r>
        <w:rPr>
          <w:rFonts w:ascii="Times New Roman;serif" w:hAnsi="Times New Roman;serif"/>
          <w:b w:val="false"/>
          <w:color w:val="000000"/>
          <w:sz w:val="24"/>
        </w:rPr>
        <w:t xml:space="preserve">: The following shall be added as a new </w:t>
      </w:r>
      <w:r>
        <w:rPr>
          <w:rFonts w:ascii="Times New Roman;serif" w:hAnsi="Times New Roman;serif"/>
          <w:b w:val="false"/>
          <w:color w:val="000000"/>
          <w:sz w:val="24"/>
          <w:u w:val="single"/>
        </w:rPr>
        <w:t>Section 11</w:t>
      </w:r>
      <w:r>
        <w:rPr>
          <w:color w:val="000000"/>
        </w:rPr>
        <w:t xml:space="preserve"> </w:t>
      </w:r>
      <w:r>
        <w:rPr>
          <w:rFonts w:ascii="Times New Roman;serif" w:hAnsi="Times New Roman;serif"/>
          <w:b w:val="false"/>
          <w:color w:val="000000"/>
          <w:sz w:val="24"/>
        </w:rPr>
        <w:t>titled “</w:t>
      </w:r>
      <w:r>
        <w:rPr>
          <w:rFonts w:ascii="Times New Roman;serif" w:hAnsi="Times New Roman;serif"/>
          <w:b w:val="false"/>
          <w:color w:val="000000"/>
          <w:sz w:val="24"/>
          <w:u w:val="single"/>
        </w:rPr>
        <w:t>Notice</w:t>
      </w:r>
      <w:r>
        <w:rPr>
          <w:color w:val="000000"/>
        </w:rPr>
        <w:t>”</w:t>
      </w:r>
      <w:r>
        <w:rPr>
          <w:rFonts w:ascii="Times New Roman;serif" w:hAnsi="Times New Roman;serif"/>
          <w:b w:val="false"/>
          <w:color w:val="000000"/>
          <w:sz w:val="24"/>
        </w:rPr>
        <w:t>:</w:t>
      </w:r>
    </w:p>
    <w:p>
      <w:pPr>
        <w:pStyle w:val="TextBody"/>
        <w:bidi w:val="0"/>
        <w:spacing w:lineRule="auto" w:line="288" w:before="0" w:after="240"/>
        <w:jc w:val="both"/>
        <w:rPr/>
      </w:pPr>
      <w:r>
        <w:rPr>
          <w:color w:val="000000"/>
        </w:rPr>
        <w:t>“</w:t>
      </w:r>
      <w:r>
        <w:rPr>
          <w:rFonts w:ascii="Times New Roman;serif" w:hAnsi="Times New Roman;serif"/>
          <w:b w:val="false"/>
          <w:color w:val="000000"/>
          <w:sz w:val="24"/>
        </w:rPr>
        <w:t xml:space="preserve">The Participant acknowledges and agrees that, (i) the Participant has been advised, and is hereby advised, of the Participant’s right to consult with counsel prior to agreeing to be bound by the Agreement and this Exhibit B, and (ii) the restrictions contained in this Exhibit B (including in </w:t>
      </w:r>
      <w:r>
        <w:rPr>
          <w:rFonts w:ascii="Times New Roman;serif" w:hAnsi="Times New Roman;serif"/>
          <w:b w:val="false"/>
          <w:color w:val="000000"/>
          <w:sz w:val="24"/>
          <w:u w:val="single"/>
        </w:rPr>
        <w:t>Section 2</w:t>
      </w:r>
      <w:r>
        <w:rPr>
          <w:rFonts w:ascii="Times New Roman;serif" w:hAnsi="Times New Roman;serif"/>
          <w:b w:val="false"/>
          <w:color w:val="000000"/>
          <w:sz w:val="24"/>
        </w:rPr>
        <w:t xml:space="preserve">) are supported by valid, sufficient, and mutually-agreed-upon consideration, which is independent of the Participant’s continued employment with the Company Group, including, but not limited to, the grant of the Option pursuant to the Participant. The Participant further acknowledges and agrees that (A) if the Participant is entering into this Exhibit B in connection with the commencement of employment, the Participant received the Agreement and this Exhibit B by the earlier of a formal offer of employment and ten (10) business days before commencement of employment, and (B) if the Participant is entering into the Agreement and this Exhibit B after commencement of employment, the Participant has had at least ten (10) business days to review this Exhibit B (inclusive of the noncompetition obligation in </w:t>
      </w:r>
      <w:r>
        <w:rPr>
          <w:rFonts w:ascii="Times New Roman;serif" w:hAnsi="Times New Roman;serif"/>
          <w:b w:val="false"/>
          <w:color w:val="000000"/>
          <w:sz w:val="24"/>
          <w:u w:val="single"/>
        </w:rPr>
        <w:t>Section 2</w:t>
      </w:r>
      <w:r>
        <w:rPr>
          <w:rFonts w:ascii="Times New Roman;serif" w:hAnsi="Times New Roman;serif"/>
          <w:b w:val="false"/>
          <w:color w:val="000000"/>
          <w:sz w:val="24"/>
        </w:rPr>
        <w:t>) before the noncompetition obligations in S</w:t>
      </w:r>
      <w:r>
        <w:rPr>
          <w:rFonts w:ascii="Times New Roman;serif" w:hAnsi="Times New Roman;serif"/>
          <w:b w:val="false"/>
          <w:color w:val="000000"/>
          <w:sz w:val="24"/>
          <w:u w:val="single"/>
        </w:rPr>
        <w:t>ection 2</w:t>
      </w:r>
      <w:r>
        <w:rPr>
          <w:color w:val="000000"/>
        </w:rPr>
        <w:t xml:space="preserve"> </w:t>
      </w:r>
      <w:r>
        <w:rPr>
          <w:rFonts w:ascii="Times New Roman;serif" w:hAnsi="Times New Roman;serif"/>
          <w:b w:val="false"/>
          <w:color w:val="000000"/>
          <w:sz w:val="24"/>
        </w:rPr>
        <w:t xml:space="preserve">become effective.  Notwithstanding anything </w:t>
      </w:r>
    </w:p>
    <w:p>
      <w:pPr>
        <w:pStyle w:val="TextBody"/>
        <w:bidi w:val="0"/>
        <w:spacing w:before="0" w:after="0"/>
        <w:jc w:val="both"/>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385445"/>
                <wp:effectExtent l="0" t="0" r="0" b="0"/>
                <wp:wrapNone/>
                <wp:docPr id="77" name="Frame7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B-10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in this Exhibit B or the Agreement to the contrary, this Exhibit B (inclusive of the noncompetition obligation in </w:t>
      </w:r>
      <w:r>
        <w:rPr>
          <w:rFonts w:ascii="Times New Roman;serif" w:hAnsi="Times New Roman;serif"/>
          <w:b w:val="false"/>
          <w:color w:val="000000"/>
          <w:sz w:val="24"/>
          <w:u w:val="single"/>
        </w:rPr>
        <w:t>Section 2</w:t>
      </w:r>
      <w:r>
        <w:rPr>
          <w:rFonts w:ascii="Times New Roman;serif" w:hAnsi="Times New Roman;serif"/>
          <w:b w:val="false"/>
          <w:color w:val="000000"/>
          <w:sz w:val="24"/>
        </w:rPr>
        <w:t>) will not become effective until the later of (x) the date that the Agreement (inclusive of this Exhibit B) was executed by the Participant, and (y) the date immediately following the tenth (10th) business day after the date that the Agreement (inclusive of this Exhibit B) was delivered to the Participant.</w:t>
      </w:r>
    </w:p>
    <w:p>
      <w:pPr>
        <w:pStyle w:val="TextBody"/>
        <w:bidi w:val="0"/>
        <w:spacing w:lineRule="auto" w:line="288" w:before="0" w:after="240"/>
        <w:jc w:val="both"/>
        <w:rPr>
          <w:rFonts w:ascii="Times New Roman;serif" w:hAnsi="Times New Roman;serif"/>
          <w:b/>
          <w:color w:val="000000"/>
          <w:sz w:val="24"/>
          <w:u w:val="single"/>
        </w:rPr>
      </w:pPr>
      <w:r>
        <w:rPr>
          <w:rFonts w:ascii="Times New Roman;serif" w:hAnsi="Times New Roman;serif"/>
          <w:b/>
          <w:color w:val="000000"/>
          <w:sz w:val="24"/>
          <w:u w:val="single"/>
        </w:rPr>
        <w:t>Minnesota</w:t>
      </w:r>
    </w:p>
    <w:p>
      <w:pPr>
        <w:pStyle w:val="TextBody"/>
        <w:bidi w:val="0"/>
        <w:spacing w:lineRule="auto" w:line="288" w:before="0" w:after="240"/>
        <w:jc w:val="both"/>
        <w:rPr/>
      </w:pPr>
      <w:r>
        <w:rPr>
          <w:rFonts w:ascii="Times New Roman;serif" w:hAnsi="Times New Roman;serif"/>
          <w:b w:val="false"/>
          <w:color w:val="000000"/>
          <w:sz w:val="24"/>
          <w:u w:val="single"/>
        </w:rPr>
        <w:t>Section 2</w:t>
      </w:r>
      <w:r>
        <w:rPr>
          <w:rFonts w:ascii="Times New Roman;serif" w:hAnsi="Times New Roman;serif"/>
          <w:b w:val="false"/>
          <w:color w:val="000000"/>
          <w:sz w:val="24"/>
        </w:rPr>
        <w:t xml:space="preserve">: For purposes of </w:t>
      </w:r>
      <w:r>
        <w:rPr>
          <w:rFonts w:ascii="Times New Roman;serif" w:hAnsi="Times New Roman;serif"/>
          <w:b w:val="false"/>
          <w:color w:val="000000"/>
          <w:sz w:val="24"/>
          <w:u w:val="single"/>
        </w:rPr>
        <w:t>Section 2</w:t>
      </w:r>
      <w:r>
        <w:rPr>
          <w:rFonts w:ascii="Times New Roman;serif" w:hAnsi="Times New Roman;serif"/>
          <w:b w:val="false"/>
          <w:color w:val="000000"/>
          <w:sz w:val="24"/>
        </w:rPr>
        <w:t>, the “Restricted Period” shall commence on the Date of Grant and end on the Participant’s termination of employment or service with the Company or its subsidiaries.</w:t>
      </w:r>
    </w:p>
    <w:p>
      <w:pPr>
        <w:pStyle w:val="TextBody"/>
        <w:bidi w:val="0"/>
        <w:spacing w:lineRule="auto" w:line="288" w:before="0" w:after="240"/>
        <w:jc w:val="both"/>
        <w:rPr>
          <w:rFonts w:ascii="Times New Roman;serif" w:hAnsi="Times New Roman;serif"/>
          <w:b/>
          <w:color w:val="000000"/>
          <w:sz w:val="24"/>
          <w:u w:val="single"/>
        </w:rPr>
      </w:pPr>
      <w:r>
        <w:rPr>
          <w:rFonts w:ascii="Times New Roman;serif" w:hAnsi="Times New Roman;serif"/>
          <w:b/>
          <w:color w:val="000000"/>
          <w:sz w:val="24"/>
          <w:u w:val="single"/>
        </w:rPr>
        <w:t xml:space="preserve">North Dakota </w:t>
      </w:r>
    </w:p>
    <w:p>
      <w:pPr>
        <w:pStyle w:val="TextBody"/>
        <w:bidi w:val="0"/>
        <w:spacing w:lineRule="auto" w:line="288" w:before="0" w:after="240"/>
        <w:jc w:val="both"/>
        <w:rPr/>
      </w:pPr>
      <w:r>
        <w:rPr>
          <w:rFonts w:ascii="Times New Roman;serif" w:hAnsi="Times New Roman;serif"/>
          <w:b w:val="false"/>
          <w:color w:val="000000"/>
          <w:sz w:val="24"/>
          <w:u w:val="single"/>
        </w:rPr>
        <w:t>Section 2</w:t>
      </w:r>
      <w:r>
        <w:rPr>
          <w:rFonts w:ascii="Times New Roman;serif" w:hAnsi="Times New Roman;serif"/>
          <w:b w:val="false"/>
          <w:color w:val="000000"/>
          <w:sz w:val="24"/>
        </w:rPr>
        <w:t xml:space="preserve">: For purposes of </w:t>
      </w:r>
      <w:r>
        <w:rPr>
          <w:rFonts w:ascii="Times New Roman;serif" w:hAnsi="Times New Roman;serif"/>
          <w:b w:val="false"/>
          <w:color w:val="000000"/>
          <w:sz w:val="24"/>
          <w:u w:val="single"/>
        </w:rPr>
        <w:t>Section 2</w:t>
      </w:r>
      <w:r>
        <w:rPr>
          <w:rFonts w:ascii="Times New Roman;serif" w:hAnsi="Times New Roman;serif"/>
          <w:b w:val="false"/>
          <w:color w:val="000000"/>
          <w:sz w:val="24"/>
        </w:rPr>
        <w:t>, the “Restricted Period” shall commence on the Date of Grant and end on the Participant’s termination of employment or service with the Company or its subsidiaries.</w:t>
      </w:r>
    </w:p>
    <w:p>
      <w:pPr>
        <w:pStyle w:val="TextBody"/>
        <w:bidi w:val="0"/>
        <w:spacing w:lineRule="auto" w:line="288" w:before="0" w:after="240"/>
        <w:jc w:val="both"/>
        <w:rPr>
          <w:rFonts w:ascii="Times New Roman;serif" w:hAnsi="Times New Roman;serif"/>
          <w:b/>
          <w:color w:val="000000"/>
          <w:sz w:val="24"/>
          <w:u w:val="single"/>
        </w:rPr>
      </w:pPr>
      <w:r>
        <w:rPr>
          <w:rFonts w:ascii="Times New Roman;serif" w:hAnsi="Times New Roman;serif"/>
          <w:b/>
          <w:color w:val="000000"/>
          <w:sz w:val="24"/>
          <w:u w:val="single"/>
        </w:rPr>
        <w:t>Oklahoma</w:t>
      </w:r>
    </w:p>
    <w:p>
      <w:pPr>
        <w:pStyle w:val="TextBody"/>
        <w:bidi w:val="0"/>
        <w:spacing w:lineRule="auto" w:line="288" w:before="0" w:after="240"/>
        <w:jc w:val="both"/>
        <w:rPr/>
      </w:pPr>
      <w:r>
        <w:rPr>
          <w:rFonts w:ascii="Times New Roman;serif" w:hAnsi="Times New Roman;serif"/>
          <w:b w:val="false"/>
          <w:color w:val="000000"/>
          <w:sz w:val="24"/>
          <w:u w:val="single"/>
        </w:rPr>
        <w:t>Section 2</w:t>
      </w:r>
      <w:r>
        <w:rPr>
          <w:rFonts w:ascii="Times New Roman;serif" w:hAnsi="Times New Roman;serif"/>
          <w:b w:val="false"/>
          <w:color w:val="000000"/>
          <w:sz w:val="24"/>
        </w:rPr>
        <w:t xml:space="preserve">: For purposes of </w:t>
      </w:r>
      <w:r>
        <w:rPr>
          <w:rFonts w:ascii="Times New Roman;serif" w:hAnsi="Times New Roman;serif"/>
          <w:b w:val="false"/>
          <w:color w:val="000000"/>
          <w:sz w:val="24"/>
          <w:u w:val="single"/>
        </w:rPr>
        <w:t>Section 2</w:t>
      </w:r>
      <w:r>
        <w:rPr>
          <w:rFonts w:ascii="Times New Roman;serif" w:hAnsi="Times New Roman;serif"/>
          <w:b w:val="false"/>
          <w:color w:val="000000"/>
          <w:sz w:val="24"/>
        </w:rPr>
        <w:t>, the “Restricted Period” shall commence on the Date of Grant and end on the Participant’s termination of employment or service with the Company or its subsidiaries.</w:t>
      </w:r>
    </w:p>
    <w:p>
      <w:pPr>
        <w:pStyle w:val="TextBody"/>
        <w:bidi w:val="0"/>
        <w:spacing w:lineRule="auto" w:line="288" w:before="0" w:after="240"/>
        <w:jc w:val="both"/>
        <w:rPr/>
      </w:pPr>
      <w:r>
        <w:rPr>
          <w:rFonts w:ascii="Times New Roman;serif" w:hAnsi="Times New Roman;serif"/>
          <w:b w:val="false"/>
          <w:color w:val="000000"/>
          <w:sz w:val="24"/>
          <w:u w:val="single"/>
        </w:rPr>
        <w:t>Section 3(c)</w:t>
      </w:r>
      <w:r>
        <w:rPr>
          <w:rFonts w:ascii="Times New Roman;serif" w:hAnsi="Times New Roman;serif"/>
          <w:b w:val="false"/>
          <w:color w:val="000000"/>
          <w:sz w:val="24"/>
        </w:rPr>
        <w:t xml:space="preserve">: The following shall replace </w:t>
      </w:r>
      <w:r>
        <w:rPr>
          <w:rFonts w:ascii="Times New Roman;serif" w:hAnsi="Times New Roman;serif"/>
          <w:b w:val="false"/>
          <w:color w:val="000000"/>
          <w:sz w:val="24"/>
          <w:u w:val="single"/>
        </w:rPr>
        <w:t>Section 3(c)</w:t>
      </w:r>
      <w:r>
        <w:rPr>
          <w:rFonts w:ascii="Times New Roman;serif" w:hAnsi="Times New Roman;serif"/>
          <w:b w:val="false"/>
          <w:color w:val="000000"/>
          <w:sz w:val="24"/>
        </w:rPr>
        <w:t>:</w:t>
      </w:r>
    </w:p>
    <w:p>
      <w:pPr>
        <w:pStyle w:val="TextBody"/>
        <w:bidi w:val="0"/>
        <w:spacing w:lineRule="auto" w:line="288" w:before="0" w:after="240"/>
        <w:jc w:val="both"/>
        <w:rPr>
          <w:color w:val="000000"/>
        </w:rPr>
      </w:pPr>
      <w:r>
        <w:rPr>
          <w:color w:val="000000"/>
        </w:rPr>
        <w:t>“…</w:t>
      </w:r>
      <w:r>
        <w:rPr>
          <w:rFonts w:ascii="Times New Roman;serif" w:hAnsi="Times New Roman;serif"/>
          <w:b w:val="false"/>
          <w:color w:val="000000"/>
          <w:sz w:val="24"/>
        </w:rPr>
        <w:t>directly solicit the sale of goods, services, or a combination of goods and services from the established customers of the Company or its subsidiaries.”</w:t>
      </w:r>
    </w:p>
    <w:p>
      <w:pPr>
        <w:pStyle w:val="TextBody"/>
        <w:bidi w:val="0"/>
        <w:spacing w:lineRule="auto" w:line="288" w:before="0" w:after="240"/>
        <w:jc w:val="both"/>
        <w:rPr>
          <w:rFonts w:ascii="Times New Roman;serif" w:hAnsi="Times New Roman;serif"/>
          <w:b/>
          <w:color w:val="000000"/>
          <w:sz w:val="24"/>
          <w:u w:val="single"/>
        </w:rPr>
      </w:pPr>
      <w:r>
        <w:rPr>
          <w:rFonts w:ascii="Times New Roman;serif" w:hAnsi="Times New Roman;serif"/>
          <w:b/>
          <w:color w:val="000000"/>
          <w:sz w:val="24"/>
          <w:u w:val="single"/>
        </w:rPr>
        <w:t>Oregon</w:t>
      </w:r>
    </w:p>
    <w:p>
      <w:pPr>
        <w:pStyle w:val="TextBody"/>
        <w:bidi w:val="0"/>
        <w:spacing w:lineRule="auto" w:line="288"/>
        <w:jc w:val="both"/>
        <w:rPr/>
      </w:pPr>
      <w:r>
        <w:rPr>
          <w:rFonts w:ascii="Times New Roman;serif" w:hAnsi="Times New Roman;serif"/>
          <w:b w:val="false"/>
          <w:color w:val="000000"/>
          <w:sz w:val="24"/>
          <w:u w:val="single"/>
        </w:rPr>
        <w:t>Section 2</w:t>
      </w:r>
      <w:r>
        <w:rPr>
          <w:rFonts w:ascii="Times New Roman;serif" w:hAnsi="Times New Roman;serif"/>
          <w:b w:val="false"/>
          <w:color w:val="000000"/>
          <w:sz w:val="24"/>
        </w:rPr>
        <w:t xml:space="preserve">: The post-employment portion of the Restricted Period (for purposes of this </w:t>
      </w:r>
      <w:r>
        <w:rPr>
          <w:rFonts w:ascii="Times New Roman;serif" w:hAnsi="Times New Roman;serif"/>
          <w:b w:val="false"/>
          <w:color w:val="000000"/>
          <w:sz w:val="24"/>
          <w:u w:val="single"/>
        </w:rPr>
        <w:t>Section 2</w:t>
      </w:r>
      <w:r>
        <w:rPr>
          <w:color w:val="000000"/>
        </w:rPr>
        <w:t xml:space="preserve"> </w:t>
      </w:r>
      <w:r>
        <w:rPr>
          <w:rFonts w:ascii="Times New Roman;serif" w:hAnsi="Times New Roman;serif"/>
          <w:b w:val="false"/>
          <w:color w:val="000000"/>
          <w:sz w:val="24"/>
        </w:rPr>
        <w:t xml:space="preserve">only) shall apply only if (i) (A) the Company informs the Participant in a written employment offer received by the Participant at least two (2) weeks before the first day of the Participant’s employment or service that a non-competition agreement is required as a condition of employment or (B) the Participant executes this Exhibit B upon a bona fide advancement, (ii) the Participant is classified as exempt under state wage and hour law, (iii) the Participant has access to trade secrets of the Company or its subsidiaries or competitively sensitive Confidential Information, and (iv) as of the date of the Participant’s termination of employment, the total amount of the Participant’s annual gross salary and commissions, calculated on an annual basis, exceeds the threshold set forth in </w:t>
      </w:r>
      <w:r>
        <w:rPr>
          <w:rFonts w:ascii="Times New Roman;serif" w:hAnsi="Times New Roman;serif"/>
          <w:b w:val="false"/>
          <w:color w:val="0000FF"/>
          <w:sz w:val="24"/>
        </w:rPr>
        <w:t>Or. Rev. Stat. § 653.295(1)</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if the Participant does not satisfy prongs (ii) or (iv) of the foregoing, the Company may, in its discretion, in order for the restrictions set forth in </w:t>
      </w:r>
      <w:r>
        <w:rPr>
          <w:rFonts w:ascii="Times New Roman;serif" w:hAnsi="Times New Roman;serif"/>
          <w:b w:val="false"/>
          <w:color w:val="000000"/>
          <w:sz w:val="24"/>
          <w:u w:val="single"/>
        </w:rPr>
        <w:t>Section 2</w:t>
      </w:r>
      <w:r>
        <w:rPr>
          <w:color w:val="000000"/>
        </w:rPr>
        <w:t xml:space="preserve"> </w:t>
      </w:r>
      <w:r>
        <w:rPr>
          <w:rFonts w:ascii="Times New Roman;serif" w:hAnsi="Times New Roman;serif"/>
          <w:b w:val="false"/>
          <w:color w:val="000000"/>
          <w:sz w:val="24"/>
        </w:rPr>
        <w:t xml:space="preserve">to apply to the Participant during the post-employment portion of the Restricted Period, pay the Participant during the post-employment portion of the Restricted Period, the greater of compensation equal to at least fifty percent (50%) of (x) the Participant’s annual gross base salary and commissions at the time of </w:t>
      </w:r>
    </w:p>
    <w:p>
      <w:pPr>
        <w:pStyle w:val="TextBody"/>
        <w:bidi w:val="0"/>
        <w:spacing w:before="0" w:after="0"/>
        <w:jc w:val="both"/>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385445"/>
                <wp:effectExtent l="0" t="0" r="0" b="0"/>
                <wp:wrapNone/>
                <wp:docPr id="78" name="Frame7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B-11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4"/>
        </w:rPr>
        <w:t xml:space="preserve">Termination or (y) the threshold set forth in </w:t>
      </w:r>
      <w:r>
        <w:rPr>
          <w:rFonts w:ascii="Times New Roman;serif" w:hAnsi="Times New Roman;serif"/>
          <w:b w:val="false"/>
          <w:color w:val="0000FF"/>
          <w:sz w:val="24"/>
        </w:rPr>
        <w:t>Or. Rev. Stat. § 653.295(1)</w:t>
      </w:r>
      <w:r>
        <w:rPr>
          <w:color w:val="000000"/>
        </w:rPr>
        <w:t xml:space="preserve"> </w:t>
      </w:r>
      <w:r>
        <w:rPr>
          <w:rFonts w:ascii="Times New Roman;serif" w:hAnsi="Times New Roman;serif"/>
          <w:b w:val="false"/>
          <w:color w:val="000000"/>
          <w:sz w:val="24"/>
        </w:rPr>
        <w:t>(the “</w:t>
      </w:r>
      <w:r>
        <w:rPr>
          <w:rFonts w:ascii="Times New Roman;serif" w:hAnsi="Times New Roman;serif"/>
          <w:b w:val="false"/>
          <w:color w:val="000000"/>
          <w:sz w:val="24"/>
          <w:u w:val="single"/>
        </w:rPr>
        <w:t>Garden Leave Payments</w:t>
      </w:r>
      <w:r>
        <w:rPr>
          <w:color w:val="000000"/>
        </w:rPr>
        <w:t>”</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further</w:t>
      </w:r>
      <w:r>
        <w:rPr>
          <w:rFonts w:ascii="Times New Roman;serif" w:hAnsi="Times New Roman;serif"/>
          <w:b w:val="false"/>
          <w:color w:val="000000"/>
          <w:sz w:val="24"/>
        </w:rPr>
        <w:t xml:space="preserve">, that (1) in the event that the Company, in its discretion, waives such obligations of the Participant under </w:t>
      </w:r>
      <w:r>
        <w:rPr>
          <w:rFonts w:ascii="Times New Roman;serif" w:hAnsi="Times New Roman;serif"/>
          <w:b w:val="false"/>
          <w:color w:val="000000"/>
          <w:sz w:val="24"/>
          <w:u w:val="single"/>
        </w:rPr>
        <w:t>Section 2</w:t>
      </w:r>
      <w:r>
        <w:rPr>
          <w:color w:val="000000"/>
        </w:rPr>
        <w:t xml:space="preserve"> </w:t>
      </w:r>
      <w:r>
        <w:rPr>
          <w:rFonts w:ascii="Times New Roman;serif" w:hAnsi="Times New Roman;serif"/>
          <w:b w:val="false"/>
          <w:color w:val="000000"/>
          <w:sz w:val="24"/>
        </w:rPr>
        <w:t>at any time during the post-employment portion of the Restricted Period, the Company’s obligation to make the Garden Leave Payments to the Participant shall cease, (2) the Participant’s right to receive and retain any Garden Leave Payments is conditioned on the Participant’s compliance in full with the Participant’s obligations under Section 2, and (3) any Garden Leave Payments paid by the Company will be payable as salary continuation, less all applicable federal, state, and local taxes and withholdings, in accordance with the Company’s standard regular payroll practices. The Participant acknowledges and agrees that any Garden Leave Payments shall reduce (and shall not be in addition to) any severance or separation pay that the Participant is otherwise entitled to receive from the Company or its subsidiaries pursuant to an agreement, plan, or otherwise.</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color w:val="000000"/>
          <w:sz w:val="24"/>
          <w:u w:val="single"/>
        </w:rPr>
      </w:pPr>
      <w:r>
        <w:rPr>
          <w:rFonts w:ascii="Times New Roman;serif" w:hAnsi="Times New Roman;serif"/>
          <w:b/>
          <w:color w:val="000000"/>
          <w:sz w:val="24"/>
          <w:u w:val="single"/>
        </w:rPr>
        <w:t>Virginia</w:t>
      </w:r>
    </w:p>
    <w:p>
      <w:pPr>
        <w:pStyle w:val="TextBody"/>
        <w:bidi w:val="0"/>
        <w:spacing w:lineRule="auto" w:line="288" w:before="0" w:after="240"/>
        <w:jc w:val="both"/>
        <w:rPr/>
      </w:pPr>
      <w:r>
        <w:rPr>
          <w:rFonts w:ascii="Times New Roman;serif" w:hAnsi="Times New Roman;serif"/>
          <w:b w:val="false"/>
          <w:color w:val="000000"/>
          <w:sz w:val="24"/>
          <w:u w:val="single"/>
        </w:rPr>
        <w:t>Section 1(a)</w:t>
      </w:r>
      <w:r>
        <w:rPr>
          <w:rFonts w:ascii="Times New Roman;serif" w:hAnsi="Times New Roman;serif"/>
          <w:b w:val="false"/>
          <w:color w:val="000000"/>
          <w:sz w:val="24"/>
        </w:rPr>
        <w:t xml:space="preserve">: The non-disclosure covenant in </w:t>
      </w:r>
      <w:r>
        <w:rPr>
          <w:rFonts w:ascii="Times New Roman;serif" w:hAnsi="Times New Roman;serif"/>
          <w:b w:val="false"/>
          <w:color w:val="000000"/>
          <w:sz w:val="24"/>
          <w:u w:val="single"/>
        </w:rPr>
        <w:t>Section 1(a)</w:t>
      </w:r>
      <w:r>
        <w:rPr>
          <w:color w:val="000000"/>
        </w:rPr>
        <w:t xml:space="preserve"> </w:t>
      </w:r>
      <w:r>
        <w:rPr>
          <w:rFonts w:ascii="Times New Roman;serif" w:hAnsi="Times New Roman;serif"/>
          <w:b w:val="false"/>
          <w:color w:val="000000"/>
          <w:sz w:val="24"/>
        </w:rPr>
        <w:t>shall apply during the Participant’s employment or service with the Company or its subsidiaries, for a period of five years thereafter, and to the extent the information qualifies as a trade secret under applicable law, at all times thereafter.</w:t>
      </w:r>
    </w:p>
    <w:p>
      <w:pPr>
        <w:pStyle w:val="TextBody"/>
        <w:bidi w:val="0"/>
        <w:spacing w:lineRule="auto" w:line="288" w:before="0" w:after="240"/>
        <w:jc w:val="both"/>
        <w:rPr>
          <w:rFonts w:ascii="Times New Roman;serif" w:hAnsi="Times New Roman;serif"/>
          <w:b/>
          <w:color w:val="000000"/>
          <w:sz w:val="24"/>
          <w:u w:val="single"/>
        </w:rPr>
      </w:pPr>
      <w:r>
        <w:rPr>
          <w:rFonts w:ascii="Times New Roman;serif" w:hAnsi="Times New Roman;serif"/>
          <w:b/>
          <w:color w:val="000000"/>
          <w:sz w:val="24"/>
          <w:u w:val="single"/>
        </w:rPr>
        <w:t>Washington</w:t>
      </w:r>
    </w:p>
    <w:p>
      <w:pPr>
        <w:pStyle w:val="TextBody"/>
        <w:bidi w:val="0"/>
        <w:spacing w:lineRule="auto" w:line="288"/>
        <w:jc w:val="both"/>
        <w:rPr/>
      </w:pPr>
      <w:r>
        <w:rPr>
          <w:rFonts w:ascii="Times New Roman;serif" w:hAnsi="Times New Roman;serif"/>
          <w:b w:val="false"/>
          <w:color w:val="000000"/>
          <w:sz w:val="24"/>
          <w:u w:val="single"/>
        </w:rPr>
        <w:t>Section 2</w:t>
      </w:r>
      <w:r>
        <w:rPr>
          <w:rFonts w:ascii="Times New Roman;serif" w:hAnsi="Times New Roman;serif"/>
          <w:b w:val="false"/>
          <w:color w:val="000000"/>
          <w:sz w:val="24"/>
        </w:rPr>
        <w:t xml:space="preserve">: The post-employment portion of the Restricted Period (for purposes of this </w:t>
      </w:r>
      <w:r>
        <w:rPr>
          <w:rFonts w:ascii="Times New Roman;serif" w:hAnsi="Times New Roman;serif"/>
          <w:b w:val="false"/>
          <w:color w:val="000000"/>
          <w:sz w:val="24"/>
          <w:u w:val="single"/>
        </w:rPr>
        <w:t>Section 2</w:t>
      </w:r>
      <w:r>
        <w:rPr>
          <w:color w:val="000000"/>
        </w:rPr>
        <w:t xml:space="preserve"> </w:t>
      </w:r>
      <w:r>
        <w:rPr>
          <w:rFonts w:ascii="Times New Roman;serif" w:hAnsi="Times New Roman;serif"/>
          <w:b w:val="false"/>
          <w:color w:val="000000"/>
          <w:sz w:val="24"/>
        </w:rPr>
        <w:t xml:space="preserve">only) shall apply only if the Participant is (i) an employee of the Company or its subsidiaries whose earnings from the Company or its subsidiaries exceed the threshold set forth in RCW 49.62.020 when annualized or (ii) an independent contractor of the Company or any of its subsidiaries whose earnings from the Company or its subsidiaries exceed the threshold set forth in RCW 49.62.030 per year, each amount to be adjusted annually for inflation as calculated by the Washington Department of Labor and Industries pursuant to RCW 49.62.040. Further, to the extent the Participant’s employment or service is terminated by the Company or its subsidiaries as part of a layoff, then the post-employment portion of the Restricted Period (for purposes of this </w:t>
      </w:r>
      <w:r>
        <w:rPr>
          <w:rFonts w:ascii="Times New Roman;serif" w:hAnsi="Times New Roman;serif"/>
          <w:b w:val="false"/>
          <w:color w:val="000000"/>
          <w:sz w:val="24"/>
          <w:u w:val="single"/>
        </w:rPr>
        <w:t>Section 2</w:t>
      </w:r>
      <w:r>
        <w:rPr>
          <w:color w:val="000000"/>
        </w:rPr>
        <w:t xml:space="preserve"> </w:t>
      </w:r>
      <w:r>
        <w:rPr>
          <w:rFonts w:ascii="Times New Roman;serif" w:hAnsi="Times New Roman;serif"/>
          <w:b w:val="false"/>
          <w:color w:val="000000"/>
          <w:sz w:val="24"/>
        </w:rPr>
        <w:t>only) shall be enforced only to the extent that the Company or its subsidiaries, at its option, continues to pay the Participant his or her base salary, at the annual rate in effect as of the date of the Participant’s termination of employment or service with the Company or its subsidiaries, in accordance with the Company’s regular payroll practices, and subject to deduction for any compensation earned through subsequent employment during the period of enforcement (“</w:t>
      </w:r>
      <w:r>
        <w:rPr>
          <w:rFonts w:ascii="Times New Roman;serif" w:hAnsi="Times New Roman;serif"/>
          <w:b w:val="false"/>
          <w:color w:val="000000"/>
          <w:sz w:val="24"/>
          <w:u w:val="single"/>
        </w:rPr>
        <w:t>Garden Leave Payments</w:t>
      </w:r>
      <w:r>
        <w:rPr>
          <w:color w:val="000000"/>
        </w:rPr>
        <w:t>”</w:t>
      </w:r>
      <w:r>
        <w:rPr>
          <w:rFonts w:ascii="Times New Roman;serif" w:hAnsi="Times New Roman;serif"/>
          <w:b w:val="false"/>
          <w:color w:val="000000"/>
          <w:sz w:val="24"/>
        </w:rPr>
        <w:t xml:space="preserve">). The Participant acknowledges and agrees that any Garden Leave Payments shall reduce (and shall not be in addition to) any severance or separation pay that the Participant is otherwise entitled to receive from the Company or its subsidiaries pursuant to an agreement, plan, or otherwise. Furthermore, if the Participant earns less than twice the applicable state minimum hourly wage, </w:t>
      </w:r>
      <w:r>
        <w:rPr>
          <w:rFonts w:ascii="Times New Roman;serif" w:hAnsi="Times New Roman;serif"/>
          <w:b w:val="false"/>
          <w:color w:val="000000"/>
          <w:sz w:val="24"/>
          <w:u w:val="single"/>
        </w:rPr>
        <w:t>Section 2</w:t>
      </w:r>
      <w:r>
        <w:rPr>
          <w:color w:val="000000"/>
        </w:rPr>
        <w:t xml:space="preserve"> </w:t>
      </w:r>
      <w:r>
        <w:rPr>
          <w:rFonts w:ascii="Times New Roman;serif" w:hAnsi="Times New Roman;serif"/>
          <w:b w:val="false"/>
          <w:color w:val="000000"/>
          <w:sz w:val="24"/>
        </w:rPr>
        <w:t xml:space="preserve">shall not restrict, restrain, or prohibit the Participant from having an additional job, supplementing the Participant’s income by working for another employer, working as an independent contractor or being self-employed,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such additional services do not raise issues of safety for the Participant, coworkers or the public, or interfere with the reasonable and normal scheduling expectations of the </w:t>
      </w:r>
    </w:p>
    <w:p>
      <w:pPr>
        <w:pStyle w:val="TextBody"/>
        <w:bidi w:val="0"/>
        <w:spacing w:before="0" w:after="0"/>
        <w:jc w:val="both"/>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385445"/>
                <wp:effectExtent l="0" t="0" r="0" b="0"/>
                <wp:wrapNone/>
                <wp:docPr id="79" name="Frame7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B-12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Company or its subsidiaries. Nothing in the foregoing sentence alters the obligations of the Participant to the Company or its subsidiaries under existing law, including the common law duty of loyalty and laws preventing conflicts of interest and any corresponding policies addressing such obligations.</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color w:val="000000"/>
          <w:sz w:val="24"/>
          <w:u w:val="single"/>
        </w:rPr>
      </w:pPr>
      <w:r>
        <w:rPr>
          <w:rFonts w:ascii="Times New Roman;serif" w:hAnsi="Times New Roman;serif"/>
          <w:b/>
          <w:color w:val="000000"/>
          <w:sz w:val="24"/>
          <w:u w:val="single"/>
        </w:rPr>
        <w:t>Wisconsin</w: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Section 1(a): The non-disclosure covenant in Section 1(a) shall apply during the Participant’s employment or service with the Company or its subsidiaries, for a period of five (5) years thereafter, and to the extent the information qualifies as a trade secret under applicable law, at all times thereafter. Additionally, with respect to Confidential Information that does not constitute trade secrets, the non-disclosure covenant in Section 1(a) will only apply in jurisdictions where disclosure of such information would be competitively damaging to the Company or its subsidiaries.</w:t>
      </w:r>
    </w:p>
    <w:p>
      <w:pPr>
        <w:pStyle w:val="TextBody"/>
        <w:bidi w:val="0"/>
        <w:spacing w:before="0" w:after="24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10.5</w:t>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385445"/>
                <wp:effectExtent l="0" t="0" r="0" b="0"/>
                <wp:wrapNone/>
                <wp:docPr id="80" name="Frame8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B-13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B-13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erif" w:hAnsi="Times New Roman;serif"/>
          <w:b/>
          <w:i/>
          <w:color w:val="000000"/>
          <w:sz w:val="24"/>
        </w:rPr>
      </w:pPr>
      <w:r>
        <w:rPr>
          <w:rFonts w:ascii="Times New Roman;serif" w:hAnsi="Times New Roman;serif"/>
          <w:b/>
          <w:i/>
          <w:color w:val="000000"/>
          <w:sz w:val="24"/>
        </w:rPr>
        <w:t>Form</w: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LEGENCE CORP.</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2025 OMNIBUS INCENTIVE PLAN</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RESTRICTED STOCK UNIT GRANT NOTICE</w:t>
      </w:r>
    </w:p>
    <w:p>
      <w:pPr>
        <w:pStyle w:val="TextBody"/>
        <w:bidi w:val="0"/>
        <w:spacing w:lineRule="auto" w:line="288" w:before="0" w:after="240"/>
        <w:ind w:left="0" w:right="0" w:firstLine="720"/>
        <w:jc w:val="both"/>
        <w:rPr/>
      </w:pPr>
      <w:r>
        <w:rPr>
          <w:rFonts w:ascii="Times New Roman;serif" w:hAnsi="Times New Roman;serif"/>
          <w:b w:val="false"/>
          <w:color w:val="000000"/>
          <w:sz w:val="24"/>
        </w:rPr>
        <w:t>Pursuant to the terms and conditions of the Legence Corp. 2025 Omnibus Incentive Plan, as amended from time to time (the “</w:t>
      </w:r>
      <w:r>
        <w:rPr>
          <w:rFonts w:ascii="Times New Roman;serif" w:hAnsi="Times New Roman;serif"/>
          <w:b/>
          <w:color w:val="000000"/>
          <w:sz w:val="24"/>
          <w:u w:val="single"/>
        </w:rPr>
        <w:t>Plan</w:t>
      </w:r>
      <w:r>
        <w:rPr>
          <w:color w:val="000000"/>
        </w:rPr>
        <w:t>”</w:t>
      </w:r>
      <w:r>
        <w:rPr>
          <w:rFonts w:ascii="Times New Roman;serif" w:hAnsi="Times New Roman;serif"/>
          <w:b w:val="false"/>
          <w:color w:val="000000"/>
          <w:sz w:val="24"/>
        </w:rPr>
        <w:t>), Legence Corp., a Delaware corporation (the “</w:t>
      </w:r>
      <w:r>
        <w:rPr>
          <w:rFonts w:ascii="Times New Roman;serif" w:hAnsi="Times New Roman;serif"/>
          <w:b/>
          <w:color w:val="000000"/>
          <w:sz w:val="24"/>
          <w:u w:val="single"/>
        </w:rPr>
        <w:t>Company</w:t>
      </w:r>
      <w:r>
        <w:rPr>
          <w:color w:val="000000"/>
        </w:rPr>
        <w:t>”</w:t>
      </w:r>
      <w:r>
        <w:rPr>
          <w:rFonts w:ascii="Times New Roman;serif" w:hAnsi="Times New Roman;serif"/>
          <w:b w:val="false"/>
          <w:color w:val="000000"/>
          <w:sz w:val="24"/>
        </w:rPr>
        <w:t>), hereby grants to the individual listed below (“</w:t>
      </w:r>
      <w:r>
        <w:rPr>
          <w:rFonts w:ascii="Times New Roman;serif" w:hAnsi="Times New Roman;serif"/>
          <w:b/>
          <w:color w:val="000000"/>
          <w:sz w:val="24"/>
          <w:u w:val="single"/>
        </w:rPr>
        <w:t>you</w:t>
      </w:r>
      <w:r>
        <w:rPr>
          <w:color w:val="000000"/>
        </w:rPr>
        <w:t xml:space="preserve">” </w:t>
      </w:r>
      <w:r>
        <w:rPr>
          <w:rFonts w:ascii="Times New Roman;serif" w:hAnsi="Times New Roman;serif"/>
          <w:b w:val="false"/>
          <w:color w:val="000000"/>
          <w:sz w:val="24"/>
        </w:rPr>
        <w:t>or the “</w:t>
      </w:r>
      <w:r>
        <w:rPr>
          <w:rFonts w:ascii="Times New Roman;serif" w:hAnsi="Times New Roman;serif"/>
          <w:b/>
          <w:color w:val="000000"/>
          <w:sz w:val="24"/>
          <w:u w:val="single"/>
        </w:rPr>
        <w:t>Participant</w:t>
      </w:r>
      <w:r>
        <w:rPr>
          <w:color w:val="000000"/>
        </w:rPr>
        <w:t>”</w:t>
      </w:r>
      <w:r>
        <w:rPr>
          <w:rFonts w:ascii="Times New Roman;serif" w:hAnsi="Times New Roman;serif"/>
          <w:b w:val="false"/>
          <w:color w:val="000000"/>
          <w:sz w:val="24"/>
        </w:rPr>
        <w:t>) the number of Restricted Stock Units (the “</w:t>
      </w:r>
      <w:r>
        <w:rPr>
          <w:rFonts w:ascii="Times New Roman;serif" w:hAnsi="Times New Roman;serif"/>
          <w:b/>
          <w:color w:val="000000"/>
          <w:sz w:val="24"/>
          <w:u w:val="single"/>
        </w:rPr>
        <w:t>RSUs</w:t>
      </w:r>
      <w:r>
        <w:rPr>
          <w:color w:val="000000"/>
        </w:rPr>
        <w:t>”</w:t>
      </w:r>
      <w:r>
        <w:rPr>
          <w:rFonts w:ascii="Times New Roman;serif" w:hAnsi="Times New Roman;serif"/>
          <w:b w:val="false"/>
          <w:color w:val="000000"/>
          <w:sz w:val="24"/>
        </w:rPr>
        <w:t>) set forth below. This award of RSUs (this “</w:t>
      </w:r>
      <w:r>
        <w:rPr>
          <w:rFonts w:ascii="Times New Roman;serif" w:hAnsi="Times New Roman;serif"/>
          <w:b/>
          <w:color w:val="000000"/>
          <w:sz w:val="24"/>
          <w:u w:val="single"/>
        </w:rPr>
        <w:t>Award</w:t>
      </w:r>
      <w:r>
        <w:rPr>
          <w:color w:val="000000"/>
        </w:rPr>
        <w:t>”</w:t>
      </w:r>
      <w:r>
        <w:rPr>
          <w:rFonts w:ascii="Times New Roman;serif" w:hAnsi="Times New Roman;serif"/>
          <w:b w:val="false"/>
          <w:color w:val="000000"/>
          <w:sz w:val="24"/>
        </w:rPr>
        <w:t xml:space="preserve">) is subject to the terms and conditions set forth herein and in the Restricted Stock Unit Agreement attached hereto as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(the “</w:t>
      </w:r>
      <w:r>
        <w:rPr>
          <w:rFonts w:ascii="Times New Roman;serif" w:hAnsi="Times New Roman;serif"/>
          <w:b/>
          <w:color w:val="000000"/>
          <w:sz w:val="24"/>
          <w:u w:val="single"/>
        </w:rPr>
        <w:t>Agreement</w:t>
      </w:r>
      <w:r>
        <w:rPr>
          <w:color w:val="000000"/>
        </w:rPr>
        <w:t>”</w:t>
      </w:r>
      <w:r>
        <w:rPr>
          <w:rFonts w:ascii="Times New Roman;serif" w:hAnsi="Times New Roman;serif"/>
          <w:b w:val="false"/>
          <w:color w:val="000000"/>
          <w:sz w:val="24"/>
        </w:rPr>
        <w:t>) and the Plan, each of which is incorporated herein by reference. Capitalized terms used but not defined herein shall have the meanings set forth in the Plan.</w:t>
      </w:r>
    </w:p>
    <w:tbl>
      <w:tblPr>
        <w:tblW w:w="10205" w:type="dxa"/>
        <w:jc w:val="left"/>
        <w:tblInd w:w="0" w:type="dxa"/>
        <w:tblLayout w:type="fixed"/>
        <w:tblCellMar>
          <w:top w:w="28" w:type="dxa"/>
          <w:left w:w="28" w:type="dxa"/>
          <w:bottom w:w="28" w:type="dxa"/>
          <w:right w:w="28" w:type="dxa"/>
        </w:tblCellMar>
      </w:tblPr>
      <w:tblGrid>
        <w:gridCol w:w="996"/>
        <w:gridCol w:w="580"/>
        <w:gridCol w:w="482"/>
        <w:gridCol w:w="1601"/>
        <w:gridCol w:w="775"/>
        <w:gridCol w:w="696"/>
        <w:gridCol w:w="677"/>
        <w:gridCol w:w="677"/>
        <w:gridCol w:w="677"/>
        <w:gridCol w:w="1377"/>
        <w:gridCol w:w="677"/>
        <w:gridCol w:w="990"/>
      </w:tblGrid>
      <w:tr>
        <w:trPr/>
        <w:tc>
          <w:tcPr>
            <w:tcW w:w="996"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r>
      <w:tr>
        <w:trPr/>
        <w:tc>
          <w:tcPr>
            <w:tcW w:w="2058"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color w:val="000000"/>
                <w:sz w:val="24"/>
              </w:rPr>
            </w:pPr>
            <w:r>
              <w:rPr>
                <w:rFonts w:ascii="Times New Roman;serif" w:hAnsi="Times New Roman;serif"/>
                <w:b/>
                <w:color w:val="000000"/>
                <w:sz w:val="24"/>
              </w:rPr>
              <w:t>Type of Award:</w:t>
            </w:r>
          </w:p>
        </w:tc>
        <w:tc>
          <w:tcPr>
            <w:tcW w:w="8147" w:type="dxa"/>
            <w:gridSpan w:val="9"/>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Restricted Stock Units</w:t>
            </w:r>
          </w:p>
        </w:tc>
      </w:tr>
      <w:tr>
        <w:trPr/>
        <w:tc>
          <w:tcPr>
            <w:tcW w:w="2058"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color w:val="000000"/>
                <w:sz w:val="24"/>
              </w:rPr>
            </w:pPr>
            <w:r>
              <w:rPr>
                <w:rFonts w:ascii="Times New Roman;serif" w:hAnsi="Times New Roman;serif"/>
                <w:b/>
                <w:color w:val="000000"/>
                <w:sz w:val="24"/>
              </w:rPr>
              <w:t>Participant:</w:t>
            </w:r>
          </w:p>
        </w:tc>
        <w:tc>
          <w:tcPr>
            <w:tcW w:w="8147" w:type="dxa"/>
            <w:gridSpan w:val="9"/>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[NAME]</w:t>
            </w:r>
          </w:p>
        </w:tc>
      </w:tr>
      <w:tr>
        <w:trPr/>
        <w:tc>
          <w:tcPr>
            <w:tcW w:w="2058"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color w:val="000000"/>
                <w:sz w:val="24"/>
              </w:rPr>
            </w:pPr>
            <w:r>
              <w:rPr>
                <w:rFonts w:ascii="Times New Roman;serif" w:hAnsi="Times New Roman;serif"/>
                <w:b/>
                <w:color w:val="000000"/>
                <w:sz w:val="24"/>
              </w:rPr>
              <w:t>Date of Grant:</w:t>
            </w:r>
          </w:p>
        </w:tc>
        <w:tc>
          <w:tcPr>
            <w:tcW w:w="8147" w:type="dxa"/>
            <w:gridSpan w:val="9"/>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2058"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color w:val="000000"/>
                <w:sz w:val="24"/>
              </w:rPr>
            </w:pPr>
            <w:r>
              <w:rPr>
                <w:rFonts w:ascii="Times New Roman;serif" w:hAnsi="Times New Roman;serif"/>
                <w:b/>
                <w:color w:val="000000"/>
                <w:sz w:val="24"/>
              </w:rPr>
              <w:t>Vesting Commencement Date:</w:t>
            </w:r>
          </w:p>
        </w:tc>
        <w:tc>
          <w:tcPr>
            <w:tcW w:w="8147" w:type="dxa"/>
            <w:gridSpan w:val="9"/>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2058"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color w:val="000000"/>
                <w:sz w:val="24"/>
              </w:rPr>
            </w:pPr>
            <w:r>
              <w:rPr>
                <w:rFonts w:ascii="Times New Roman;serif" w:hAnsi="Times New Roman;serif"/>
                <w:b/>
                <w:color w:val="000000"/>
                <w:sz w:val="24"/>
              </w:rPr>
              <w:t>Total Number of RSUs:</w:t>
            </w:r>
          </w:p>
        </w:tc>
        <w:tc>
          <w:tcPr>
            <w:tcW w:w="8147" w:type="dxa"/>
            <w:gridSpan w:val="9"/>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2058" w:type="dxa"/>
            <w:gridSpan w:val="3"/>
            <w:vMerge w:val="restart"/>
            <w:tcBorders/>
            <w:tcMar>
              <w:top w:w="0" w:type="dxa"/>
              <w:left w:w="0" w:type="dxa"/>
              <w:bottom w:w="0" w:type="dxa"/>
              <w:right w:w="0" w:type="dxa"/>
            </w:tcMar>
            <w:vAlign w:val="center"/>
          </w:tcPr>
          <w:p>
            <w:pPr>
              <w:pStyle w:val="TableContents"/>
              <w:bidi w:val="0"/>
              <w:spacing w:lineRule="auto" w:line="288" w:before="0" w:after="240"/>
              <w:jc w:val="left"/>
              <w:rPr/>
            </w:pPr>
            <w:r>
              <w:rPr>
                <w:rFonts w:ascii="Times New Roman;serif" w:hAnsi="Times New Roman;serif"/>
                <w:b/>
                <w:color w:val="000000"/>
                <w:sz w:val="24"/>
              </w:rPr>
              <w:t>Vesting Schedule:</w:t>
            </w:r>
            <w:r>
              <w:rPr>
                <w:color w:val="000000"/>
              </w:rPr>
              <w:t xml:space="preserve"> </w:t>
            </w:r>
          </w:p>
        </w:tc>
        <w:tc>
          <w:tcPr>
            <w:tcW w:w="8147" w:type="dxa"/>
            <w:gridSpan w:val="9"/>
            <w:tcBorders/>
            <w:tcMar>
              <w:top w:w="0" w:type="dxa"/>
              <w:left w:w="0" w:type="dxa"/>
              <w:bottom w:w="0" w:type="dxa"/>
              <w:right w:w="0" w:type="dxa"/>
            </w:tcMar>
            <w:vAlign w:val="center"/>
          </w:tcPr>
          <w:p>
            <w:pPr>
              <w:pStyle w:val="TableContents"/>
              <w:bidi w:val="0"/>
              <w:spacing w:lineRule="auto" w:line="288" w:before="0" w:after="240"/>
              <w:jc w:val="both"/>
              <w:rPr/>
            </w:pPr>
            <w:r>
              <w:rPr>
                <w:rFonts w:ascii="Times New Roman;serif" w:hAnsi="Times New Roman;serif"/>
                <w:b w:val="false"/>
                <w:color w:val="000000"/>
                <w:sz w:val="24"/>
              </w:rPr>
              <w:t xml:space="preserve">Subject to </w:t>
            </w:r>
            <w:r>
              <w:rPr>
                <w:rFonts w:ascii="Times New Roman;serif" w:hAnsi="Times New Roman;serif"/>
                <w:b w:val="false"/>
                <w:color w:val="000000"/>
                <w:sz w:val="24"/>
                <w:u w:val="single"/>
              </w:rPr>
              <w:t>Section 2</w:t>
            </w:r>
            <w:r>
              <w:rPr>
                <w:color w:val="000000"/>
              </w:rPr>
              <w:t xml:space="preserve"> </w:t>
            </w:r>
            <w:r>
              <w:rPr>
                <w:rFonts w:ascii="Times New Roman;serif" w:hAnsi="Times New Roman;serif"/>
                <w:b w:val="false"/>
                <w:color w:val="000000"/>
                <w:sz w:val="24"/>
              </w:rPr>
              <w:t>of the Agreement, the Plan and the other terms and conditions set forth herein, the RSUs shall vest according to the following schedule, so long as you remain continuously employed by the Company or an Affiliate from the Date of Grant through each such vesting date:</w:t>
            </w:r>
          </w:p>
        </w:tc>
      </w:tr>
      <w:tr>
        <w:trPr/>
        <w:tc>
          <w:tcPr>
            <w:tcW w:w="2058" w:type="dxa"/>
            <w:gridSpan w:val="3"/>
            <w:vMerge w:val="continue"/>
            <w:tcBorders/>
            <w:tcMar>
              <w:top w:w="0" w:type="dxa"/>
              <w:left w:w="0" w:type="dxa"/>
              <w:bottom w:w="0" w:type="dxa"/>
              <w:right w:w="0" w:type="dxa"/>
            </w:tcMar>
            <w:vAlign w:val="center"/>
          </w:tcPr>
          <w:p>
            <w:pPr>
              <w:pStyle w:val="Normal"/>
              <w:bidi w:val="0"/>
              <w:jc w:val="left"/>
              <w:rPr/>
            </w:pPr>
            <w:r>
              <w:rPr/>
            </w:r>
          </w:p>
        </w:tc>
        <w:tc>
          <w:tcPr>
            <w:tcW w:w="3072"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24"/>
              </w:rPr>
            </w:pPr>
            <w:r>
              <w:rPr>
                <w:rFonts w:ascii="Times New Roman;serif" w:hAnsi="Times New Roman;serif"/>
                <w:b/>
                <w:color w:val="000000"/>
                <w:sz w:val="24"/>
              </w:rPr>
              <w:t>Vesting Date</w:t>
            </w:r>
          </w:p>
        </w:tc>
        <w:tc>
          <w:tcPr>
            <w:tcW w:w="2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24"/>
              </w:rPr>
            </w:pPr>
            <w:r>
              <w:rPr>
                <w:rFonts w:ascii="Times New Roman;serif" w:hAnsi="Times New Roman;serif"/>
                <w:b/>
                <w:color w:val="000000"/>
                <w:sz w:val="24"/>
              </w:rPr>
              <w:t>Percentage of RSUs That Vest</w:t>
            </w:r>
          </w:p>
        </w:tc>
      </w:tr>
      <w:tr>
        <w:trPr/>
        <w:tc>
          <w:tcPr>
            <w:tcW w:w="2058" w:type="dxa"/>
            <w:gridSpan w:val="3"/>
            <w:vMerge w:val="continue"/>
            <w:tcBorders/>
            <w:tcMar>
              <w:top w:w="0" w:type="dxa"/>
              <w:left w:w="0" w:type="dxa"/>
              <w:bottom w:w="0" w:type="dxa"/>
              <w:right w:w="0" w:type="dxa"/>
            </w:tcMar>
            <w:vAlign w:val="center"/>
          </w:tcPr>
          <w:p>
            <w:pPr>
              <w:pStyle w:val="Normal"/>
              <w:bidi w:val="0"/>
              <w:jc w:val="left"/>
              <w:rPr/>
            </w:pPr>
            <w:r>
              <w:rPr/>
            </w:r>
          </w:p>
        </w:tc>
        <w:tc>
          <w:tcPr>
            <w:tcW w:w="30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24"/>
              </w:rPr>
            </w:pPr>
            <w:r>
              <w:rPr>
                <w:rFonts w:ascii="Times New Roman;serif" w:hAnsi="Times New Roman;serif"/>
                <w:b w:val="false"/>
                <w:color w:val="000000"/>
                <w:sz w:val="24"/>
              </w:rPr>
              <w:t>First Anniversary of the Vesting Commencement Date</w:t>
            </w:r>
          </w:p>
        </w:tc>
        <w:tc>
          <w:tcPr>
            <w:tcW w:w="2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24"/>
              </w:rPr>
            </w:pPr>
            <w:r>
              <w:rPr>
                <w:rFonts w:ascii="Times New Roman;serif" w:hAnsi="Times New Roman;serif"/>
                <w:b/>
                <w:color w:val="000000"/>
                <w:sz w:val="24"/>
              </w:rPr>
              <w:t>33.33%</w:t>
            </w:r>
          </w:p>
        </w:tc>
      </w:tr>
      <w:tr>
        <w:trPr/>
        <w:tc>
          <w:tcPr>
            <w:tcW w:w="2058" w:type="dxa"/>
            <w:gridSpan w:val="3"/>
            <w:vMerge w:val="continue"/>
            <w:tcBorders/>
            <w:tcMar>
              <w:top w:w="0" w:type="dxa"/>
              <w:left w:w="0" w:type="dxa"/>
              <w:bottom w:w="0" w:type="dxa"/>
              <w:right w:w="0" w:type="dxa"/>
            </w:tcMar>
            <w:vAlign w:val="center"/>
          </w:tcPr>
          <w:p>
            <w:pPr>
              <w:pStyle w:val="Normal"/>
              <w:bidi w:val="0"/>
              <w:jc w:val="left"/>
              <w:rPr/>
            </w:pPr>
            <w:r>
              <w:rPr/>
            </w:r>
          </w:p>
        </w:tc>
        <w:tc>
          <w:tcPr>
            <w:tcW w:w="30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24"/>
              </w:rPr>
            </w:pPr>
            <w:r>
              <w:rPr>
                <w:rFonts w:ascii="Times New Roman;serif" w:hAnsi="Times New Roman;serif"/>
                <w:b w:val="false"/>
                <w:color w:val="000000"/>
                <w:sz w:val="24"/>
              </w:rPr>
              <w:t>Second Anniversary of the Vesting Commencement Date</w:t>
            </w:r>
          </w:p>
        </w:tc>
        <w:tc>
          <w:tcPr>
            <w:tcW w:w="2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24"/>
              </w:rPr>
            </w:pPr>
            <w:r>
              <w:rPr>
                <w:rFonts w:ascii="Times New Roman;serif" w:hAnsi="Times New Roman;serif"/>
                <w:b/>
                <w:color w:val="000000"/>
                <w:sz w:val="24"/>
              </w:rPr>
              <w:t>33.33%</w:t>
            </w:r>
          </w:p>
        </w:tc>
      </w:tr>
      <w:tr>
        <w:trPr/>
        <w:tc>
          <w:tcPr>
            <w:tcW w:w="2058" w:type="dxa"/>
            <w:gridSpan w:val="3"/>
            <w:vMerge w:val="continue"/>
            <w:tcBorders/>
            <w:tcMar>
              <w:top w:w="0" w:type="dxa"/>
              <w:left w:w="0" w:type="dxa"/>
              <w:bottom w:w="0" w:type="dxa"/>
              <w:right w:w="0" w:type="dxa"/>
            </w:tcMar>
            <w:vAlign w:val="center"/>
          </w:tcPr>
          <w:p>
            <w:pPr>
              <w:pStyle w:val="Normal"/>
              <w:bidi w:val="0"/>
              <w:jc w:val="left"/>
              <w:rPr/>
            </w:pPr>
            <w:r>
              <w:rPr/>
            </w:r>
          </w:p>
        </w:tc>
        <w:tc>
          <w:tcPr>
            <w:tcW w:w="307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24"/>
              </w:rPr>
            </w:pPr>
            <w:r>
              <w:rPr>
                <w:rFonts w:ascii="Times New Roman;serif" w:hAnsi="Times New Roman;serif"/>
                <w:b w:val="false"/>
                <w:color w:val="000000"/>
                <w:sz w:val="24"/>
              </w:rPr>
              <w:t>Third Anniversary of the Vesting Commencement Date</w:t>
            </w:r>
          </w:p>
        </w:tc>
        <w:tc>
          <w:tcPr>
            <w:tcW w:w="2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40"/>
              <w:jc w:val="center"/>
              <w:rPr>
                <w:rFonts w:ascii="Times New Roman;serif" w:hAnsi="Times New Roman;serif"/>
                <w:b/>
                <w:color w:val="000000"/>
                <w:sz w:val="24"/>
              </w:rPr>
            </w:pPr>
            <w:r>
              <w:rPr>
                <w:rFonts w:ascii="Times New Roman;serif" w:hAnsi="Times New Roman;serif"/>
                <w:b/>
                <w:color w:val="000000"/>
                <w:sz w:val="24"/>
              </w:rPr>
              <w:t>33.34%</w:t>
            </w:r>
          </w:p>
        </w:tc>
      </w:tr>
    </w:tbl>
    <w:p>
      <w:pPr>
        <w:pStyle w:val="TextBody"/>
        <w:bidi w:val="0"/>
        <w:spacing w:before="0" w:after="240"/>
        <w:ind w:left="0" w:right="0" w:firstLine="720"/>
        <w:jc w:val="both"/>
        <w:rPr/>
      </w:pPr>
      <w:r>
        <w:rPr/>
      </w:r>
    </w:p>
    <w:p>
      <w:pPr>
        <w:pStyle w:val="TextBody"/>
        <w:bidi w:val="0"/>
        <w:spacing w:lineRule="auto" w:line="288" w:before="0" w:after="240"/>
        <w:ind w:left="0" w:right="0" w:firstLine="720"/>
        <w:jc w:val="both"/>
        <w:rPr/>
      </w:pPr>
      <w:r>
        <w:rPr>
          <w:rFonts w:ascii="Times New Roman;serif" w:hAnsi="Times New Roman;serif"/>
          <w:b w:val="false"/>
          <w:color w:val="000000"/>
          <w:sz w:val="24"/>
        </w:rPr>
        <w:t>By your signature below, you agree to be bound by the terms and conditions of the Plan, the Agreement and this Restricted Stock Unit Grant Notice (this “</w:t>
      </w:r>
      <w:r>
        <w:rPr>
          <w:rFonts w:ascii="Times New Roman;serif" w:hAnsi="Times New Roman;serif"/>
          <w:b/>
          <w:color w:val="000000"/>
          <w:sz w:val="24"/>
          <w:u w:val="single"/>
        </w:rPr>
        <w:t>Grant Notice</w:t>
      </w:r>
      <w:r>
        <w:rPr>
          <w:color w:val="000000"/>
        </w:rPr>
        <w:t>”</w:t>
      </w:r>
      <w:r>
        <w:rPr>
          <w:rFonts w:ascii="Times New Roman;serif" w:hAnsi="Times New Roman;serif"/>
          <w:b w:val="false"/>
          <w:color w:val="000000"/>
          <w:sz w:val="24"/>
        </w:rPr>
        <w:t xml:space="preserve">). You acknowledge that you have reviewed the Agreement, the Plan and this Grant Notice in their entirety and fully understand all provisions of the Agreement, the Plan and this Grant Notice, and have had an opportunity to obtain the advice of counsel prior to executing this Grant Notice. </w:t>
      </w:r>
    </w:p>
    <w:p>
      <w:pPr>
        <w:pStyle w:val="TextBody"/>
        <w:bidi w:val="0"/>
        <w:spacing w:before="0" w:after="0"/>
        <w:jc w:val="both"/>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781685"/>
                <wp:effectExtent l="0" t="0" r="0" b="0"/>
                <wp:wrapNone/>
                <wp:docPr id="81" name="Frame81"/>
                <a:graphic xmlns:a="http://schemas.openxmlformats.org/drawingml/2006/main">
                  <a:graphicData uri="http://schemas.microsoft.com/office/word/2010/wordprocessingShape">
                    <wps:wsp>
                      <wps:cNvSpPr txBox="1"/>
                      <wps:spPr>
                        <a:xfrm>
                          <a:off x="0" y="0"/>
                          <a:ext cx="6480175" cy="781685"/>
                        </a:xfrm>
                        <a:prstGeom prst="rect"/>
                        <a:solidFill>
                          <a:srgbClr val="FFFFFF"/>
                        </a:solidFill>
                      </wps:spPr>
                      <wps:txbx>
                        <w:txbxContent>
                          <w:p>
                            <w:pPr>
                              <w:pStyle w:val="TextBody"/>
                              <w:bidi w:val="0"/>
                              <w:spacing w:before="0" w:after="0"/>
                              <w:jc w:val="both"/>
                              <w:rPr/>
                            </w:pPr>
                            <w:r>
                              <w:rPr/>
                            </w:r>
                            <w:r>
                              <w:br w:type="page"/>
                            </w:r>
                          </w:p>
                          <w:p>
                            <w:pPr>
                              <w:pStyle w:val="TextBody"/>
                              <w:bidi w:val="0"/>
                              <w:spacing w:before="60" w:after="283"/>
                              <w:jc w:val="left"/>
                              <w:rPr/>
                            </w:pPr>
                            <w:r>
                              <w:rPr/>
                            </w:r>
                          </w:p>
                          <w:p>
                            <w:pPr>
                              <w:pStyle w:val="TextBody"/>
                              <w:bidi w:val="0"/>
                              <w:spacing w:before="6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before="60" w:after="283"/>
                        <w:jc w:val="left"/>
                        <w:rPr/>
                      </w:pPr>
                      <w:r>
                        <w:rPr/>
                      </w:r>
                    </w:p>
                    <w:p>
                      <w:pPr>
                        <w:pStyle w:val="TextBody"/>
                        <w:bidi w:val="0"/>
                        <w:spacing w:before="60" w:after="283"/>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You hereby agree to accept as binding, conclusive and final all decisions or interpretations of the Committee regarding any questions or determinations arising under the Agreement, the Plan or this Grant Notice. This Grant Notice may be executed in one or more counterparts (including portable document format (.pdf) and facsimile counterparts), each of which shall be deemed to be an original, but all of which together shall constitute one and the same agreement.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Notwithstanding any provision of this Grant Notice or the Agreement, if you have not executed and delivered to the Company this Grant Notice within 90 days following the Date of Grant, then this Award will terminate automatically without any further action by the Company and the RSUs will be forfeited without further notice and at no cost to the Company unless otherwise determined by the Committee.</w:t>
      </w:r>
    </w:p>
    <w:p>
      <w:pPr>
        <w:pStyle w:val="TextBody"/>
        <w:bidi w:val="0"/>
        <w:spacing w:before="0" w:after="0"/>
        <w:jc w:val="both"/>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i/>
          <w:color w:val="000000"/>
          <w:sz w:val="24"/>
        </w:rPr>
      </w:pPr>
      <w:r>
        <w:rPr>
          <w:rFonts w:ascii="Times New Roman;serif" w:hAnsi="Times New Roman;serif"/>
          <w:b/>
          <w:i/>
          <w:color w:val="000000"/>
          <w:sz w:val="24"/>
        </w:rPr>
        <w:t>[Signature Page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480"/>
        <w:ind w:left="0" w:right="0" w:firstLine="720"/>
        <w:jc w:val="both"/>
        <w:rPr/>
      </w:pPr>
      <w:r>
        <w:rPr>
          <w:rFonts w:ascii="Times New Roman;serif" w:hAnsi="Times New Roman;serif"/>
          <w:b/>
          <w:color w:val="000000"/>
          <w:sz w:val="24"/>
        </w:rPr>
        <w:t>IN WITNESS WHEREOF</w:t>
      </w:r>
      <w:r>
        <w:rPr>
          <w:rFonts w:ascii="Times New Roman;serif" w:hAnsi="Times New Roman;serif"/>
          <w:b w:val="false"/>
          <w:color w:val="000000"/>
          <w:sz w:val="24"/>
        </w:rPr>
        <w:t>, the Company has caused this Grant Notice to be executed by an officer thereunto duly authorized, and the Participant has executed this Grant Notice, effective for all purposes as provided above.</w:t>
      </w:r>
    </w:p>
    <w:p>
      <w:pPr>
        <w:pStyle w:val="TextBody"/>
        <w:bidi w:val="0"/>
        <w:spacing w:lineRule="auto" w:line="288" w:before="0" w:after="0"/>
        <w:jc w:val="both"/>
        <w:rPr/>
      </w:pPr>
      <w:r>
        <w:rPr>
          <w:color w:val="000000"/>
        </w:rPr>
        <w:t>    </w:t>
      </w:r>
      <w:r>
        <w:rPr>
          <w:rFonts w:ascii="Times New Roman;serif" w:hAnsi="Times New Roman;serif"/>
          <w:b/>
          <w:color w:val="000000"/>
          <w:sz w:val="24"/>
        </w:rPr>
        <w:t>LEGENCE CORP.</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color w:val="000000"/>
        </w:rPr>
        <w:t>    </w:t>
      </w:r>
      <w:r>
        <w:rPr>
          <w:color w:val="000000"/>
          <w:u w:val="single"/>
        </w:rPr>
        <w:t>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By:</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Name:</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Title:</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color w:val="000000"/>
          <w:sz w:val="24"/>
        </w:rPr>
        <w:t>PARTICIPANT</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color w:val="000000"/>
        </w:rPr>
        <w:t>    </w:t>
      </w:r>
      <w:r>
        <w:rPr>
          <w:color w:val="000000"/>
          <w:u w:val="single"/>
        </w:rPr>
        <w:t>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Name: [NAME]</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4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353060"/>
                <wp:effectExtent l="0" t="0" r="0" b="0"/>
                <wp:wrapNone/>
                <wp:docPr id="83" name="Frame83"/>
                <a:graphic xmlns:a="http://schemas.openxmlformats.org/drawingml/2006/main">
                  <a:graphicData uri="http://schemas.microsoft.com/office/word/2010/wordprocessingShape">
                    <wps:wsp>
                      <wps:cNvSpPr txBox="1"/>
                      <wps:spPr>
                        <a:xfrm>
                          <a:off x="0" y="0"/>
                          <a:ext cx="6480175" cy="3530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w:t>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Restricted Stock Unit Grant Notice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Restricted Stock Unit Grant Notice</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EXHIBIT A</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RESTRICTED STOCK UNIT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Restricted Stock Unit Agreement (together with the Grant Notice to which this Agreement is attached, this “</w:t>
      </w:r>
      <w:r>
        <w:rPr>
          <w:rFonts w:ascii="Times New Roman;serif" w:hAnsi="Times New Roman;serif"/>
          <w:b/>
          <w:color w:val="000000"/>
          <w:sz w:val="24"/>
          <w:u w:val="single"/>
        </w:rPr>
        <w:t>Agreement</w:t>
      </w:r>
      <w:r>
        <w:rPr>
          <w:color w:val="000000"/>
        </w:rPr>
        <w:t>”</w:t>
      </w:r>
      <w:r>
        <w:rPr>
          <w:rFonts w:ascii="Times New Roman;serif" w:hAnsi="Times New Roman;serif"/>
          <w:b w:val="false"/>
          <w:color w:val="000000"/>
          <w:sz w:val="24"/>
        </w:rPr>
        <w:t>) is made as of the Date of Grant set forth in the Grant Notice to which this Agreement is attached by and between Legence Corp., a Delaware corporation (the “</w:t>
      </w:r>
      <w:r>
        <w:rPr>
          <w:rFonts w:ascii="Times New Roman;serif" w:hAnsi="Times New Roman;serif"/>
          <w:b/>
          <w:color w:val="000000"/>
          <w:sz w:val="24"/>
          <w:u w:val="single"/>
        </w:rPr>
        <w:t>Company</w:t>
      </w:r>
      <w:r>
        <w:rPr>
          <w:color w:val="000000"/>
        </w:rPr>
        <w:t>”</w:t>
      </w:r>
      <w:r>
        <w:rPr>
          <w:rFonts w:ascii="Times New Roman;serif" w:hAnsi="Times New Roman;serif"/>
          <w:b w:val="false"/>
          <w:color w:val="000000"/>
          <w:sz w:val="24"/>
        </w:rPr>
        <w:t>), and [NAME] (the “</w:t>
      </w:r>
      <w:r>
        <w:rPr>
          <w:rFonts w:ascii="Times New Roman;serif" w:hAnsi="Times New Roman;serif"/>
          <w:b/>
          <w:color w:val="000000"/>
          <w:sz w:val="24"/>
          <w:u w:val="single"/>
        </w:rPr>
        <w:t>Participant</w:t>
      </w:r>
      <w:r>
        <w:rPr>
          <w:color w:val="000000"/>
        </w:rPr>
        <w:t>”</w:t>
      </w:r>
      <w:r>
        <w:rPr>
          <w:rFonts w:ascii="Times New Roman;serif" w:hAnsi="Times New Roman;serif"/>
          <w:b w:val="false"/>
          <w:color w:val="000000"/>
          <w:sz w:val="24"/>
        </w:rPr>
        <w:t>). Capitalized terms used but not specifically defined herein shall have the meanings specified in the Plan or the Grant Notice.</w:t>
      </w:r>
    </w:p>
    <w:p>
      <w:pPr>
        <w:pStyle w:val="TextBody"/>
        <w:bidi w:val="0"/>
        <w:spacing w:lineRule="auto" w:line="288" w:before="0" w:after="240"/>
        <w:ind w:left="0" w:right="0" w:firstLine="720"/>
        <w:jc w:val="both"/>
        <w:rPr/>
      </w:pPr>
      <w:r>
        <w:rPr>
          <w:rFonts w:ascii="Times New Roman;serif" w:hAnsi="Times New Roman;serif"/>
          <w:b/>
          <w:color w:val="000000"/>
          <w:sz w:val="24"/>
        </w:rPr>
        <w:t>1.</w:t>
      </w:r>
      <w:r>
        <w:rPr>
          <w:rFonts w:ascii="Times New Roman;serif" w:hAnsi="Times New Roman;serif"/>
          <w:b/>
          <w:color w:val="000000"/>
          <w:sz w:val="24"/>
          <w:u w:val="single"/>
        </w:rPr>
        <w:t>Award</w:t>
      </w:r>
      <w:r>
        <w:rPr>
          <w:rFonts w:ascii="Times New Roman;serif" w:hAnsi="Times New Roman;serif"/>
          <w:b w:val="false"/>
          <w:color w:val="000000"/>
          <w:sz w:val="24"/>
        </w:rPr>
        <w:t>.  In consideration of the Participant’s continued employment with, or service to, the Company or an Affiliate and for other good and valuable consideration, the receipt and sufficiency of which is hereby acknowledged, effective as of the Date of Grant set forth in the Grant Notice (the “</w:t>
      </w:r>
      <w:r>
        <w:rPr>
          <w:rFonts w:ascii="Times New Roman;serif" w:hAnsi="Times New Roman;serif"/>
          <w:b/>
          <w:color w:val="000000"/>
          <w:sz w:val="24"/>
          <w:u w:val="single"/>
        </w:rPr>
        <w:t>Date of Grant</w:t>
      </w:r>
      <w:r>
        <w:rPr>
          <w:color w:val="000000"/>
        </w:rPr>
        <w:t>”</w:t>
      </w:r>
      <w:r>
        <w:rPr>
          <w:rFonts w:ascii="Times New Roman;serif" w:hAnsi="Times New Roman;serif"/>
          <w:b w:val="false"/>
          <w:color w:val="000000"/>
          <w:sz w:val="24"/>
        </w:rPr>
        <w:t xml:space="preserve">), the Company hereby grants to the Participant the number of RSUs set forth in the Grant Notice on the terms and conditions set forth in the Grant Notice, this Agreement and the Plan, which is incorporated herein by reference as a part of this Agreement. In the event of any inconsistency between the Plan and this Agreement, the terms of the Plan shall control. To the extent vested, each RSU represents the right to receive one Share, subject to the terms and conditions set forth in the Grant Notice, this Agreement and the Plan. Unless and until the RSUs have become vested in the manner set forth in </w:t>
      </w:r>
      <w:r>
        <w:rPr>
          <w:rFonts w:ascii="Times New Roman;serif" w:hAnsi="Times New Roman;serif"/>
          <w:b w:val="false"/>
          <w:color w:val="000000"/>
          <w:sz w:val="24"/>
          <w:u w:val="single"/>
        </w:rPr>
        <w:t>Section 2</w:t>
      </w:r>
      <w:r>
        <w:rPr>
          <w:rFonts w:ascii="Times New Roman;serif" w:hAnsi="Times New Roman;serif"/>
          <w:b w:val="false"/>
          <w:color w:val="000000"/>
          <w:sz w:val="24"/>
        </w:rPr>
        <w:t>, the Participant will have no right to receive any Shares or other payments in respect of the RSUs. Prior to settlement of this Award, the RSUs and this Award represent an unsecured obligation of the Company, payable only from the general assets of the Company.</w:t>
      </w:r>
    </w:p>
    <w:p>
      <w:pPr>
        <w:pStyle w:val="TextBody"/>
        <w:bidi w:val="0"/>
        <w:spacing w:lineRule="auto" w:line="288" w:before="0" w:after="240"/>
        <w:ind w:left="0" w:right="0" w:firstLine="720"/>
        <w:jc w:val="both"/>
        <w:rPr/>
      </w:pPr>
      <w:r>
        <w:rPr>
          <w:rFonts w:ascii="Times New Roman;serif" w:hAnsi="Times New Roman;serif"/>
          <w:b/>
          <w:color w:val="000000"/>
          <w:sz w:val="24"/>
        </w:rPr>
        <w:t>2.</w:t>
      </w:r>
      <w:r>
        <w:rPr>
          <w:rFonts w:ascii="Times New Roman;serif" w:hAnsi="Times New Roman;serif"/>
          <w:b/>
          <w:color w:val="000000"/>
          <w:sz w:val="24"/>
          <w:u w:val="single"/>
        </w:rPr>
        <w:t>Vesting of RSUs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Except as otherwise set forth in this </w:t>
      </w:r>
      <w:r>
        <w:rPr>
          <w:rFonts w:ascii="Times New Roman;serif" w:hAnsi="Times New Roman;serif"/>
          <w:b w:val="false"/>
          <w:color w:val="000000"/>
          <w:sz w:val="24"/>
          <w:u w:val="single"/>
        </w:rPr>
        <w:t>Section 2</w:t>
      </w:r>
      <w:r>
        <w:rPr>
          <w:color w:val="000000"/>
        </w:rPr>
        <w:t xml:space="preserve"> </w:t>
      </w:r>
      <w:r>
        <w:rPr>
          <w:rFonts w:ascii="Times New Roman;serif" w:hAnsi="Times New Roman;serif"/>
          <w:b w:val="false"/>
          <w:color w:val="000000"/>
          <w:sz w:val="24"/>
        </w:rPr>
        <w:t xml:space="preserve">hereof, the RSUs shall vest in accordance with the vesting schedule set forth in the Grant Notice. Upon the Participant’s termination of employment prior to the vesting of all of the RSUs (but after giving effect to any accelerated vesting pursuant to this </w:t>
      </w:r>
      <w:r>
        <w:rPr>
          <w:rFonts w:ascii="Times New Roman;serif" w:hAnsi="Times New Roman;serif"/>
          <w:b w:val="false"/>
          <w:color w:val="000000"/>
          <w:sz w:val="24"/>
          <w:u w:val="single"/>
        </w:rPr>
        <w:t>Section 2</w:t>
      </w:r>
      <w:r>
        <w:rPr>
          <w:rFonts w:ascii="Times New Roman;serif" w:hAnsi="Times New Roman;serif"/>
          <w:b w:val="false"/>
          <w:color w:val="000000"/>
          <w:sz w:val="24"/>
        </w:rPr>
        <w:t>), any unvested RSUs (and all rights arising from such RSUs and from being a holder thereof) will terminate automatically without any further action by the Company and will be forfeited without further notice and at no cost to the Company.</w: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Notwithstanding anything in the Grant Notice, this Agreement or the Plan to the contrary, subject to </w:t>
      </w:r>
      <w:r>
        <w:rPr>
          <w:rFonts w:ascii="Times New Roman;serif" w:hAnsi="Times New Roman;serif"/>
          <w:b w:val="false"/>
          <w:color w:val="000000"/>
          <w:sz w:val="24"/>
          <w:u w:val="single"/>
        </w:rPr>
        <w:t>Section 10</w:t>
      </w:r>
      <w:r>
        <w:rPr>
          <w:rFonts w:ascii="Times New Roman;serif" w:hAnsi="Times New Roman;serif"/>
          <w:b w:val="false"/>
          <w:color w:val="000000"/>
          <w:sz w:val="24"/>
        </w:rPr>
        <w:t xml:space="preserve">: </w:t>
      </w:r>
    </w:p>
    <w:p>
      <w:pPr>
        <w:pStyle w:val="TextBody"/>
        <w:bidi w:val="0"/>
        <w:spacing w:lineRule="auto" w:line="288" w:before="0" w:after="240"/>
        <w:ind w:left="0" w:right="0" w:firstLine="2160"/>
        <w:jc w:val="both"/>
        <w:rPr/>
      </w:pPr>
      <w:r>
        <w:rPr>
          <w:rFonts w:ascii="Times New Roman;serif" w:hAnsi="Times New Roman;serif"/>
          <w:b w:val="false"/>
          <w:color w:val="000000"/>
          <w:sz w:val="24"/>
        </w:rPr>
        <w:t>(i)</w:t>
      </w:r>
      <w:r>
        <w:rPr>
          <w:rFonts w:ascii="Times New Roman;serif" w:hAnsi="Times New Roman;serif"/>
          <w:b w:val="false"/>
          <w:color w:val="000000"/>
          <w:sz w:val="24"/>
        </w:rPr>
        <w:t xml:space="preserve">upon the Participant’s termination of employment due to the Participant’s death or Disability, all RSUs, if any, that remain unvested shall immediately become vested as of the date of such termination of employment; </w:t>
      </w:r>
    </w:p>
    <w:p>
      <w:pPr>
        <w:pStyle w:val="TextBody"/>
        <w:bidi w:val="0"/>
        <w:spacing w:lineRule="auto" w:line="288" w:before="0" w:after="240"/>
        <w:ind w:left="0" w:right="0" w:firstLine="2160"/>
        <w:jc w:val="both"/>
        <w:rPr/>
      </w:pPr>
      <w:r>
        <w:rPr>
          <w:rFonts w:ascii="Times New Roman;serif" w:hAnsi="Times New Roman;serif"/>
          <w:b w:val="false"/>
          <w:color w:val="000000"/>
          <w:sz w:val="24"/>
        </w:rPr>
        <w:t>(ii)</w:t>
      </w:r>
      <w:r>
        <w:rPr>
          <w:rFonts w:ascii="Times New Roman;serif" w:hAnsi="Times New Roman;serif"/>
          <w:b w:val="false"/>
          <w:color w:val="000000"/>
          <w:sz w:val="24"/>
        </w:rPr>
        <w:t>upon a Change in Control, if this Award is not continued or assumed by, or substituted for a substantially equivalent award of, the successor or survivor entity (as determined in the discretion of the Committee), all RSUs, if any, that remain unvested shall become vested as of immediately prior to the occurrence of such Change in Control; and</w:t>
      </w:r>
    </w:p>
    <w:p>
      <w:pPr>
        <w:pStyle w:val="TextBody"/>
        <w:bidi w:val="0"/>
        <w:spacing w:before="0" w:after="0"/>
        <w:jc w:val="both"/>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385445"/>
                <wp:effectExtent l="0" t="0" r="0" b="0"/>
                <wp:wrapNone/>
                <wp:docPr id="84" name="Frame8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2160"/>
        <w:jc w:val="both"/>
        <w:rPr/>
      </w:pPr>
      <w:r>
        <w:rPr>
          <w:rFonts w:ascii="Times New Roman;serif" w:hAnsi="Times New Roman;serif"/>
          <w:b w:val="false"/>
          <w:color w:val="000000"/>
          <w:sz w:val="24"/>
        </w:rPr>
        <w:t>(iii)</w:t>
      </w:r>
      <w:r>
        <w:rPr>
          <w:rFonts w:ascii="Times New Roman;serif" w:hAnsi="Times New Roman;serif"/>
          <w:b w:val="false"/>
          <w:color w:val="000000"/>
          <w:sz w:val="24"/>
        </w:rPr>
        <w:t>if this Award is continued or assumed by, or substituted for a substantially equivalent award of, the successor or survivor entity in connection with a Change in Control (as determined in the discretion of the Committee), and the Participant subsequently incurs a Change in Control Qualifying Termination, all RSUs (or the portion of any award substituted therefor), if any, that remain unvested shall immediately become vested as of the date of such Change in Control Qualifying Termination.</w:t>
      </w:r>
    </w:p>
    <w:p>
      <w:pPr>
        <w:pStyle w:val="TextBody"/>
        <w:bidi w:val="0"/>
        <w:spacing w:lineRule="auto" w:line="288"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For purposes of this Agreement:</w:t>
      </w:r>
    </w:p>
    <w:p>
      <w:pPr>
        <w:pStyle w:val="TextBody"/>
        <w:bidi w:val="0"/>
        <w:spacing w:lineRule="auto" w:line="288" w:before="0" w:after="240"/>
        <w:ind w:left="0" w:right="0" w:firstLine="2160"/>
        <w:jc w:val="both"/>
        <w:rPr/>
      </w:pPr>
      <w:r>
        <w:rPr>
          <w:rFonts w:ascii="Times New Roman;serif" w:hAnsi="Times New Roman;serif"/>
          <w:b w:val="false"/>
          <w:color w:val="000000"/>
          <w:sz w:val="24"/>
        </w:rPr>
        <w:t>(i)</w:t>
      </w:r>
      <w:r>
        <w:rPr>
          <w:color w:val="000000"/>
        </w:rPr>
        <w:t>“</w:t>
      </w:r>
      <w:r>
        <w:rPr>
          <w:rFonts w:ascii="Times New Roman;serif" w:hAnsi="Times New Roman;serif"/>
          <w:b/>
          <w:color w:val="000000"/>
          <w:sz w:val="24"/>
          <w:u w:val="single"/>
        </w:rPr>
        <w:t>Change in Control Qualifying Termination</w:t>
      </w:r>
      <w:r>
        <w:rPr>
          <w:color w:val="000000"/>
        </w:rPr>
        <w:t xml:space="preserve">” </w:t>
      </w:r>
      <w:r>
        <w:rPr>
          <w:rFonts w:ascii="Times New Roman;serif" w:hAnsi="Times New Roman;serif"/>
          <w:b w:val="false"/>
          <w:color w:val="000000"/>
          <w:sz w:val="24"/>
        </w:rPr>
        <w:t>means a Participant’s termination of employment by the Company or an Affiliate without Cause or by the Participant for Good Reason that occurs on or during the two-year period immediately following a Change in Control.</w:t>
      </w:r>
    </w:p>
    <w:p>
      <w:pPr>
        <w:pStyle w:val="TextBody"/>
        <w:bidi w:val="0"/>
        <w:spacing w:lineRule="auto" w:line="288" w:before="0" w:after="240"/>
        <w:ind w:left="0" w:right="0" w:firstLine="2160"/>
        <w:jc w:val="both"/>
        <w:rPr/>
      </w:pPr>
      <w:r>
        <w:rPr>
          <w:rFonts w:ascii="Times New Roman;serif" w:hAnsi="Times New Roman;serif"/>
          <w:b w:val="false"/>
          <w:color w:val="000000"/>
          <w:sz w:val="24"/>
        </w:rPr>
        <w:t>(ii)</w:t>
      </w:r>
      <w:r>
        <w:rPr>
          <w:color w:val="000000"/>
        </w:rPr>
        <w:t>“</w:t>
      </w:r>
      <w:r>
        <w:rPr>
          <w:rFonts w:ascii="Times New Roman;serif" w:hAnsi="Times New Roman;serif"/>
          <w:b/>
          <w:color w:val="000000"/>
          <w:sz w:val="24"/>
          <w:u w:val="single"/>
        </w:rPr>
        <w:t>Good Reason</w:t>
      </w:r>
      <w:r>
        <w:rPr>
          <w:color w:val="000000"/>
        </w:rPr>
        <w:t xml:space="preserve">” </w:t>
      </w:r>
      <w:r>
        <w:rPr>
          <w:rFonts w:ascii="Times New Roman;serif" w:hAnsi="Times New Roman;serif"/>
          <w:b w:val="false"/>
          <w:color w:val="000000"/>
          <w:sz w:val="24"/>
        </w:rPr>
        <w:t>means, with respect to the Participant’s termination of employment, (A) in the case where there is no employment agreement, offer letter, consulting agreement, severance agreement or plan, change in control agreement, or similar agreement or plan in effect between the Company or its Affiliates and the Participant at the time of the termination of employment (or where there is such an agreement or plan in effect, but it does not define “good reason” (or words of like import)), the occurrence of any of the following events without the written consent of the Participant: (1) a material diminution in the Participant’s base salary or target bonus opportunity other than as part of one or more reductions in base salaries or target bonus opportunities that apply equally to each of the members of the Company’s executive leadership team in substantially the same proportions; (2) a material diminution in the Participant’s authority, duties, responsibilities or reporting relationship with the Company or any Affiliate; or (3) the relocation of the geographic location of the Participant’s principal place of employment (including, as applicable, the Participant’s home office if the Participant primarily works remotely) by more than 50 miles from the location of the Participant’s principal place of employment as of immediately prior to the occurrence of the Change in Control; (B) in the case where there is an employment agreement, offer letter, consulting agreement, severance agreement or plan, change in control agreement or similar agreement or plan in effect between the Company or any Affiliate and the Participant at the time of the termination of employment that defines “good reason” (or words of like import), “good reason” as defined under such agreement or plan. Notwithstanding the foregoing provisions of this definition or any other provision of the Plan to the contrary, any assertion by the Participant of a termination for Good Reason shall not be effective unless all of the following conditions are satisfied: (x) such Participant must provide written notice to the Company of the existence of such condition(s) within 30 days after the initial occurrence of such condition(s); (y) the condition(s) specified in such notice must remain uncorrected for 30 days following the Company’s receipt of such written notice; and (z) the date of such Participant’s termination of employment must occur within 90 days after the initial occurrence of the condition(s) specified in such notice.</w:t>
      </w:r>
    </w:p>
    <w:p>
      <w:pPr>
        <w:pStyle w:val="TextBody"/>
        <w:bidi w:val="0"/>
        <w:spacing w:lineRule="auto" w:line="288" w:before="0" w:after="240"/>
        <w:ind w:left="0" w:right="0" w:firstLine="720"/>
        <w:jc w:val="both"/>
        <w:rPr/>
      </w:pPr>
      <w:r>
        <w:rPr>
          <w:rFonts w:ascii="Times New Roman;serif" w:hAnsi="Times New Roman;serif"/>
          <w:b/>
          <w:color w:val="000000"/>
          <w:sz w:val="24"/>
        </w:rPr>
        <w:t>3.</w:t>
      </w:r>
      <w:r>
        <w:rPr>
          <w:rFonts w:ascii="Times New Roman;serif" w:hAnsi="Times New Roman;serif"/>
          <w:b/>
          <w:color w:val="000000"/>
          <w:sz w:val="24"/>
          <w:u w:val="single"/>
        </w:rPr>
        <w:t>Dividend Equivalent Rights</w:t>
      </w:r>
      <w:r>
        <w:rPr>
          <w:rFonts w:ascii="Times New Roman;serif" w:hAnsi="Times New Roman;serif"/>
          <w:b w:val="false"/>
          <w:color w:val="000000"/>
          <w:sz w:val="24"/>
        </w:rPr>
        <w:t xml:space="preserve">. In the event that the Company declares and pays a regular cash dividend in respect of its outstanding Shares (which, for clarity, does not include </w:t>
      </w:r>
    </w:p>
    <w:p>
      <w:pPr>
        <w:pStyle w:val="TextBody"/>
        <w:bidi w:val="0"/>
        <w:spacing w:before="0" w:after="0"/>
        <w:jc w:val="both"/>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385445"/>
                <wp:effectExtent l="0" t="0" r="0" b="0"/>
                <wp:wrapNone/>
                <wp:docPr id="85" name="Frame8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any extraordinary cash dividend) and, on the record date for such dividend, the Participant holds RSUs granted pursuant to this Agreement that have not been settled, the Company shall record in a bookkeeping account an amount equal to the cash dividends the Participant would have received if the Participant was the holder of record, as of such record date, of a number of Shares equal to the number of RSUs held by the Participant that have not been settled as of such record date (the “</w:t>
      </w:r>
      <w:r>
        <w:rPr>
          <w:rFonts w:ascii="Times New Roman;serif" w:hAnsi="Times New Roman;serif"/>
          <w:b/>
          <w:color w:val="000000"/>
          <w:sz w:val="24"/>
          <w:u w:val="single"/>
        </w:rPr>
        <w:t>Dividend Equivalent Rights</w:t>
      </w:r>
      <w:r>
        <w:rPr>
          <w:color w:val="000000"/>
        </w:rPr>
        <w:t>”</w:t>
      </w:r>
      <w:r>
        <w:rPr>
          <w:rFonts w:ascii="Times New Roman;serif" w:hAnsi="Times New Roman;serif"/>
          <w:b w:val="false"/>
          <w:color w:val="000000"/>
          <w:sz w:val="24"/>
        </w:rPr>
        <w:t>), and such Dividend Equivalent Rights shall be subject to the same terms and conditions, including with respect to vesting, forfeitability and transferability, as the underlying RSUs. All amounts, if any, payable as a result of such Dividend Equivalents Rights shall be paid to the Participant in cash (or, at the discretion of the Company, in Shares) on or following, but no later than 30 days after, the date that the underlying RSU vests. For purposes of clarity, if any of the RSUs are forfeited by the Participant pursuant to the terms of this Agreement, then the Participant shall also forfeit the Dividend Equivalent Rights, if any, accrued with respect to such forfeited RSUs. No interest will accrue on the Dividend Equivalent Rights between the declaration and payment of the applicable dividends and the settlement of the Dividend Equivalent Rights.</w:t>
      </w:r>
    </w:p>
    <w:p>
      <w:pPr>
        <w:pStyle w:val="TextBody"/>
        <w:bidi w:val="0"/>
        <w:spacing w:lineRule="auto" w:line="288" w:before="0" w:after="240"/>
        <w:ind w:left="0" w:right="0" w:firstLine="720"/>
        <w:jc w:val="both"/>
        <w:rPr/>
      </w:pPr>
      <w:r>
        <w:rPr>
          <w:rFonts w:ascii="Times New Roman;serif" w:hAnsi="Times New Roman;serif"/>
          <w:b/>
          <w:color w:val="000000"/>
          <w:sz w:val="24"/>
        </w:rPr>
        <w:t>4.</w:t>
      </w:r>
      <w:r>
        <w:rPr>
          <w:rFonts w:ascii="Times New Roman;serif" w:hAnsi="Times New Roman;serif"/>
          <w:b/>
          <w:color w:val="000000"/>
          <w:sz w:val="24"/>
          <w:u w:val="single"/>
        </w:rPr>
        <w:t>Settlement of RSUs</w:t>
      </w:r>
      <w:r>
        <w:rPr>
          <w:rFonts w:ascii="Times New Roman;serif" w:hAnsi="Times New Roman;serif"/>
          <w:b w:val="false"/>
          <w:color w:val="000000"/>
          <w:sz w:val="24"/>
        </w:rPr>
        <w:t xml:space="preserve">. As soon as administratively practicable following the vesting of RSUs pursuant to </w:t>
      </w:r>
      <w:r>
        <w:rPr>
          <w:rFonts w:ascii="Times New Roman;serif" w:hAnsi="Times New Roman;serif"/>
          <w:b w:val="false"/>
          <w:color w:val="000000"/>
          <w:sz w:val="24"/>
          <w:u w:val="single"/>
        </w:rPr>
        <w:t>Section 2</w:t>
      </w:r>
      <w:r>
        <w:rPr>
          <w:rFonts w:ascii="Times New Roman;serif" w:hAnsi="Times New Roman;serif"/>
          <w:b w:val="false"/>
          <w:color w:val="000000"/>
          <w:sz w:val="24"/>
        </w:rPr>
        <w:t xml:space="preserve">, but in no event later than thirty (30) days after such vesting date, the Company shall deliver to the Participant a number of Shares equal to the number of RSUs subject to this Award. All Shares issued hereunder shall be delivered either by delivering one or more certificates for such Shares to the Participant or by entering such Shares in book-entry form, as determined by the Committee in its sole discretion. The value of Shares shall not bear any interest owing to the passage of time. Neither this </w:t>
      </w:r>
      <w:r>
        <w:rPr>
          <w:rFonts w:ascii="Times New Roman;serif" w:hAnsi="Times New Roman;serif"/>
          <w:b w:val="false"/>
          <w:color w:val="000000"/>
          <w:sz w:val="24"/>
          <w:u w:val="single"/>
        </w:rPr>
        <w:t>Section 4</w:t>
      </w:r>
      <w:r>
        <w:rPr>
          <w:color w:val="000000"/>
        </w:rPr>
        <w:t xml:space="preserve"> </w:t>
      </w:r>
      <w:r>
        <w:rPr>
          <w:rFonts w:ascii="Times New Roman;serif" w:hAnsi="Times New Roman;serif"/>
          <w:b w:val="false"/>
          <w:color w:val="000000"/>
          <w:sz w:val="24"/>
        </w:rPr>
        <w:t xml:space="preserve">nor any action taken pursuant to or in accordance with this Agreement shall be construed to create a trust or a funded or secured obligation of any kind. </w:t>
      </w:r>
    </w:p>
    <w:p>
      <w:pPr>
        <w:pStyle w:val="TextBody"/>
        <w:bidi w:val="0"/>
        <w:spacing w:lineRule="auto" w:line="288" w:before="0" w:after="240"/>
        <w:ind w:left="0" w:right="0" w:firstLine="720"/>
        <w:jc w:val="both"/>
        <w:rPr/>
      </w:pPr>
      <w:r>
        <w:rPr>
          <w:rFonts w:ascii="Times New Roman;serif" w:hAnsi="Times New Roman;serif"/>
          <w:b/>
          <w:color w:val="000000"/>
          <w:sz w:val="24"/>
        </w:rPr>
        <w:t>5.</w:t>
      </w:r>
      <w:r>
        <w:rPr>
          <w:rFonts w:ascii="Times New Roman;serif" w:hAnsi="Times New Roman;serif"/>
          <w:b/>
          <w:color w:val="000000"/>
          <w:sz w:val="24"/>
          <w:u w:val="single"/>
        </w:rPr>
        <w:t>Restrictive Covenants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The Participant acknowledges and agrees that the grant of the RSUs further aligns the Participant’s interests with the Company’s long-term business interests, and as a condition to the Company’s willingness to enter into this Agreement, the Participant agrees to abide by the terms set forth in </w:t>
      </w:r>
      <w:r>
        <w:rPr>
          <w:rFonts w:ascii="Times New Roman;serif" w:hAnsi="Times New Roman;serif"/>
          <w:b w:val="false"/>
          <w:color w:val="000000"/>
          <w:sz w:val="24"/>
          <w:u w:val="single"/>
        </w:rPr>
        <w:t>Exhibit B</w:t>
      </w:r>
      <w:r>
        <w:rPr>
          <w:rFonts w:ascii="Times New Roman;serif" w:hAnsi="Times New Roman;serif"/>
          <w:b w:val="false"/>
          <w:color w:val="000000"/>
          <w:sz w:val="24"/>
        </w:rPr>
        <w:t xml:space="preserve">, which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 xml:space="preserve">is deemed to be part of this Agreement as if fully set forth herein. The Participant acknowledges and agrees that the Restrictive Covenants are reasonable and enforceable in all respects. By accepting this Award, the Participant agrees to be bound, and promises to abide, by the terms set forth in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and expressly acknowledges and affirms that this Award would not be granted to the Participant if the Participant had not agreed to be bound by such provisions.</w: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Notwithstanding any provision in this Agreement or the Plan to the contrary, in the event the Company determines that the Participant has failed to abide by any of the terms set forth in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 xml:space="preserve">or the provisions of any other confidentiality, non-disclosure, non-competition, non-solicitation, non-disparagement or other restrictive covenants in any other agreement by and between the Company or any Affiliate and the Participant, then, in addition to and without limiting the remedies set forth in </w:t>
      </w:r>
      <w:r>
        <w:rPr>
          <w:rFonts w:ascii="Times New Roman;serif" w:hAnsi="Times New Roman;serif"/>
          <w:b w:val="false"/>
          <w:color w:val="000000"/>
          <w:sz w:val="24"/>
          <w:u w:val="single"/>
        </w:rPr>
        <w:t>Exhibit B</w:t>
      </w:r>
      <w:r>
        <w:rPr>
          <w:rFonts w:ascii="Times New Roman;serif" w:hAnsi="Times New Roman;serif"/>
          <w:b w:val="false"/>
          <w:color w:val="000000"/>
          <w:sz w:val="24"/>
        </w:rPr>
        <w:t xml:space="preserve">: </w:t>
      </w:r>
    </w:p>
    <w:p>
      <w:pPr>
        <w:pStyle w:val="TextBody"/>
        <w:bidi w:val="0"/>
        <w:spacing w:before="0" w:after="0"/>
        <w:jc w:val="both"/>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385445"/>
                <wp:effectExtent l="0" t="0" r="0" b="0"/>
                <wp:wrapNone/>
                <wp:docPr id="86" name="Frame8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2160"/>
        <w:jc w:val="both"/>
        <w:rPr/>
      </w:pPr>
      <w:r>
        <w:rPr>
          <w:rFonts w:ascii="Times New Roman;serif" w:hAnsi="Times New Roman;serif"/>
          <w:b w:val="false"/>
          <w:color w:val="000000"/>
          <w:sz w:val="24"/>
        </w:rPr>
        <w:t>(i)</w:t>
      </w:r>
      <w:r>
        <w:rPr>
          <w:rFonts w:ascii="Times New Roman;serif" w:hAnsi="Times New Roman;serif"/>
          <w:b w:val="false"/>
          <w:color w:val="000000"/>
          <w:sz w:val="24"/>
        </w:rPr>
        <w:t>all RSUs (whether vested or unvested) that have not been settled as of the date of such determination (and all rights arising from such RSUs and from being a holder thereof, including all Dividend Equivalent Rights) will terminate automatically without any further action by the Company and will be forfeited without further notice and at no cost to the Company; and</w:t>
      </w:r>
    </w:p>
    <w:p>
      <w:pPr>
        <w:pStyle w:val="TextBody"/>
        <w:bidi w:val="0"/>
        <w:spacing w:lineRule="auto" w:line="288" w:before="0" w:after="240"/>
        <w:ind w:left="0" w:right="0" w:firstLine="2160"/>
        <w:jc w:val="both"/>
        <w:rPr/>
      </w:pPr>
      <w:r>
        <w:rPr>
          <w:rFonts w:ascii="Times New Roman;serif" w:hAnsi="Times New Roman;serif"/>
          <w:b w:val="false"/>
          <w:color w:val="000000"/>
          <w:sz w:val="24"/>
        </w:rPr>
        <w:t>(ii)</w:t>
      </w:r>
      <w:r>
        <w:rPr>
          <w:rFonts w:ascii="Times New Roman;serif" w:hAnsi="Times New Roman;serif"/>
          <w:b w:val="false"/>
          <w:color w:val="000000"/>
          <w:sz w:val="24"/>
        </w:rPr>
        <w:t>the Participant shall, within 30 days following the Participant’s receipt of a written notice from the Company, pay to the Company a cash amount equal to the Fair Market Value of any Shares previously received by the Participant pursuant to the settlement of the RSUs as of the date of receipt of such Shares, together with an amount equal to any dividends, Dividend Equivalent Rights or other payments received in respect of such Shares, and the Participant shall reimburse the Company for any costs or fees (including attorneys’ fees) in the event the Participant fails to timely make such payments.</w:t>
      </w:r>
    </w:p>
    <w:p>
      <w:pPr>
        <w:pStyle w:val="TextBody"/>
        <w:bidi w:val="0"/>
        <w:spacing w:lineRule="auto" w:line="288" w:before="0" w:after="240"/>
        <w:ind w:left="0" w:right="0" w:firstLine="720"/>
        <w:jc w:val="both"/>
        <w:rPr/>
      </w:pPr>
      <w:r>
        <w:rPr>
          <w:rFonts w:ascii="Times New Roman;serif" w:hAnsi="Times New Roman;serif"/>
          <w:b/>
          <w:color w:val="000000"/>
          <w:sz w:val="24"/>
        </w:rPr>
        <w:t>6.</w:t>
      </w:r>
      <w:r>
        <w:rPr>
          <w:rFonts w:ascii="Times New Roman;serif" w:hAnsi="Times New Roman;serif"/>
          <w:b/>
          <w:color w:val="000000"/>
          <w:sz w:val="24"/>
          <w:u w:val="single"/>
        </w:rPr>
        <w:t>Tax Withholding</w:t>
      </w:r>
      <w:r>
        <w:rPr>
          <w:rFonts w:ascii="Times New Roman;serif" w:hAnsi="Times New Roman;serif"/>
          <w:b w:val="false"/>
          <w:color w:val="000000"/>
          <w:sz w:val="24"/>
        </w:rPr>
        <w:t>. To the extent that the receipt, vesting or settlement of this Award results in compensation income or wages (including via Dividend Equivalent Rights) to the Participant for federal, state, local and/or foreign tax purposes, the Company shall have the authority to deduct or withhold, or require the Participant to remit to the Company, an amount sufficient to satisfy all applicable federal, state, local and foreign taxes (including the employee portion of any Federal Insurance Contributions Act obligation) required by Applicable Law to be withheld with respect to any taxable event arising in connection with this Award. In furtherance of the forgoing, the Participant may make arrangements satisfactory to the Company regarding the payment of any income tax, social insurance contribution or other applicable taxes that are required to be withheld in respect of this Award, which arrangements include (if and to the extent permitted by the Company) the delivery of cash or cash equivalents, Shares (including previously owned Shares (which are not subject to any pledge or other security interest), net settlement, a broker-assisted sale, or other cashless withholding or reduction of the amount of shares otherwise issuable or delivered pursuant to this Award), other property, or any other legal consideration the Committee deems appropriate. If such tax obligations are satisfied through net settlement or the surrender of previously owned Shares, the maximum number of Shares that may be so withheld (or surrendered) shall be the number of Shares that have an aggregate Fair Market Value on the date of withholding or surrender equal to the aggregate amount of such tax liabilities determined based on the greatest withholding rates for federal, state, local and/or foreign tax purposes, including payroll taxes, that may be utilized without creating adverse accounting treatment for the Company with respect to this Award, as determined by the Committee. Any fraction of a Share required to satisfy such tax obligations shall be disregarded and the amount due shall be paid instead in cash to the Participant. The Participant acknowledges that there may be adverse tax consequences upon the receipt, vesting or settlement of this Award or disposition of the underlying Shares and that the Participant has been advised, and hereby is advised, to consult a tax advisor. The Participant represents that the Participant is in no manner relying on the Board, the Committee, the Company or an Affiliate or any of their respective managers, directors, officers, employees or authorized representatives (including attorneys, accountants, consultants, bankers, lenders, prospective lenders and financial representatives) for tax advice or an assessment of such tax consequences.</w:t>
      </w:r>
    </w:p>
    <w:p>
      <w:pPr>
        <w:pStyle w:val="TextBody"/>
        <w:bidi w:val="0"/>
        <w:spacing w:before="0" w:after="0"/>
        <w:jc w:val="both"/>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385445"/>
                <wp:effectExtent l="0" t="0" r="0" b="0"/>
                <wp:wrapNone/>
                <wp:docPr id="87" name="Frame8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4"/>
        </w:rPr>
        <w:t>7.</w:t>
      </w:r>
      <w:r>
        <w:rPr>
          <w:rFonts w:ascii="Times New Roman;serif" w:hAnsi="Times New Roman;serif"/>
          <w:b/>
          <w:color w:val="000000"/>
          <w:sz w:val="24"/>
          <w:u w:val="single"/>
        </w:rPr>
        <w:t>Non-Transferability</w:t>
      </w:r>
      <w:r>
        <w:rPr>
          <w:rFonts w:ascii="Times New Roman;serif" w:hAnsi="Times New Roman;serif"/>
          <w:b w:val="false"/>
          <w:color w:val="000000"/>
          <w:sz w:val="24"/>
        </w:rPr>
        <w:t>.  During the lifetime of the Participant, the RSUs may not be sold, pledged, assigned or transferred in any manner other than by will or the laws of descent and distribution, unless and until the Shares underlying the RSUs have been issued, and all restrictions applicable to such Shares have lapsed. Neither the RSUs nor any interest or right therein shall be liable for the debts, contracts or engagements of the Participant or the Participant’s successors in interest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except to the extent that such disposition is permitted by the preceding sentence.</w:t>
      </w:r>
    </w:p>
    <w:p>
      <w:pPr>
        <w:pStyle w:val="TextBody"/>
        <w:bidi w:val="0"/>
        <w:spacing w:lineRule="auto" w:line="288" w:before="0" w:after="240"/>
        <w:ind w:left="0" w:right="0" w:firstLine="720"/>
        <w:jc w:val="both"/>
        <w:rPr/>
      </w:pPr>
      <w:r>
        <w:rPr>
          <w:rFonts w:ascii="Times New Roman;serif" w:hAnsi="Times New Roman;serif"/>
          <w:b/>
          <w:color w:val="000000"/>
          <w:sz w:val="24"/>
        </w:rPr>
        <w:t>8.</w:t>
      </w:r>
      <w:r>
        <w:rPr>
          <w:rFonts w:ascii="Times New Roman;serif" w:hAnsi="Times New Roman;serif"/>
          <w:b/>
          <w:color w:val="000000"/>
          <w:sz w:val="24"/>
          <w:u w:val="single"/>
        </w:rPr>
        <w:t>Compliance with Applicable Law</w:t>
      </w:r>
      <w:r>
        <w:rPr>
          <w:rFonts w:ascii="Times New Roman;serif" w:hAnsi="Times New Roman;serif"/>
          <w:b w:val="false"/>
          <w:color w:val="000000"/>
          <w:sz w:val="24"/>
        </w:rPr>
        <w:t>. Notwithstanding any provision of this Agreement to the contrary, the issuance of Shares hereunder will be subject to compliance with all applicable requirements of Applicable Law. No Shares will be issued hereunder if such issuance would constitute a violation of any Applicable Law. In addition, Shares will not be issued hereunder unless (a) a registration statement under the Securities Act is in effect at the time of such issuance with respect to the Shares to be issued or (b) in the opinion of legal counsel to the Company, the Shares to be issued are permitted to be issued in accordance with the terms of an applicable exemption from the registration requirements of the Securities Act. The inability of the Company to obtain from any regulatory body having jurisdiction the authority, if any, deemed by the Company’s legal counsel to be necessary for the lawful issuance and sale of any Shares hereunder will relieve the Company of any liability in respect of the failure to issue such Shares as to which such requisite authority has not been obtained. As a condition to any issuance of Shares hereunder, the Company may require the Participant to satisfy any requirements that may be necessary or appropriate to evidence compliance with any Applicable Law and to make any representation or warranty with respect to such compliance as may be requested by the Company.</w:t>
      </w:r>
    </w:p>
    <w:p>
      <w:pPr>
        <w:pStyle w:val="TextBody"/>
        <w:bidi w:val="0"/>
        <w:spacing w:lineRule="auto" w:line="288" w:before="0" w:after="240"/>
        <w:ind w:left="0" w:right="0" w:firstLine="720"/>
        <w:jc w:val="both"/>
        <w:rPr/>
      </w:pPr>
      <w:r>
        <w:rPr>
          <w:rFonts w:ascii="Times New Roman;serif" w:hAnsi="Times New Roman;serif"/>
          <w:b/>
          <w:color w:val="000000"/>
          <w:sz w:val="24"/>
        </w:rPr>
        <w:t>9.</w:t>
      </w:r>
      <w:r>
        <w:rPr>
          <w:rFonts w:ascii="Times New Roman;serif" w:hAnsi="Times New Roman;serif"/>
          <w:b/>
          <w:color w:val="000000"/>
          <w:sz w:val="24"/>
          <w:u w:val="single"/>
        </w:rPr>
        <w:t>Rights as a Stockholder</w:t>
      </w:r>
      <w:r>
        <w:rPr>
          <w:rFonts w:ascii="Times New Roman;serif" w:hAnsi="Times New Roman;serif"/>
          <w:b w:val="false"/>
          <w:color w:val="000000"/>
          <w:sz w:val="24"/>
        </w:rPr>
        <w:t>. The Participant shall have no rights as a stockholder of the Company with respect to any Shares that may become deliverable hereunder unless and until the Participant has become the holder of record of such Shares, and no adjustments shall be made for dividends in cash or other property, distributions or other rights in respect of any such Shares, except as otherwise specifically provided for in the Plan or this Agreement.</w:t>
      </w:r>
    </w:p>
    <w:p>
      <w:pPr>
        <w:pStyle w:val="TextBody"/>
        <w:bidi w:val="0"/>
        <w:spacing w:lineRule="auto" w:line="288" w:before="0" w:after="240"/>
        <w:ind w:left="0" w:right="0" w:firstLine="720"/>
        <w:jc w:val="both"/>
        <w:rPr/>
      </w:pPr>
      <w:r>
        <w:rPr>
          <w:rFonts w:ascii="Times New Roman;serif" w:hAnsi="Times New Roman;serif"/>
          <w:b/>
          <w:color w:val="000000"/>
          <w:sz w:val="24"/>
        </w:rPr>
        <w:t>10.</w:t>
      </w:r>
      <w:r>
        <w:rPr>
          <w:rFonts w:ascii="Times New Roman;serif" w:hAnsi="Times New Roman;serif"/>
          <w:b/>
          <w:color w:val="000000"/>
          <w:sz w:val="24"/>
          <w:u w:val="single"/>
        </w:rPr>
        <w:t>Execution of Receipts and Releases</w:t>
      </w:r>
      <w:r>
        <w:rPr>
          <w:rFonts w:ascii="Times New Roman;serif" w:hAnsi="Times New Roman;serif"/>
          <w:b w:val="false"/>
          <w:color w:val="000000"/>
          <w:sz w:val="24"/>
        </w:rPr>
        <w:t xml:space="preserve">. Any issuance or transfer of Shares or other property to the Participant or the Participant’s legal representative, heir, legatee or distributee, in accordance with this Agreement shall be in full satisfaction of all claims of such Person hereunder. As a condition precedent to such payment or issuance, the Company may require the Participant or the Participant’s legal representative, heir, legatee or distributee to execute (and not revoke within any time provided to do so) a release and receipt therefor in such form as it shall determine appropriate; </w:t>
      </w:r>
      <w:r>
        <w:rPr>
          <w:rFonts w:ascii="Times New Roman;serif" w:hAnsi="Times New Roman;serif"/>
          <w:b w:val="false"/>
          <w:i/>
          <w:color w:val="000000"/>
          <w:sz w:val="24"/>
        </w:rPr>
        <w:t>provided</w:t>
      </w:r>
      <w:r>
        <w:rPr>
          <w:rFonts w:ascii="Times New Roman;serif" w:hAnsi="Times New Roman;serif"/>
          <w:b w:val="false"/>
          <w:color w:val="000000"/>
          <w:sz w:val="24"/>
        </w:rPr>
        <w:t>, that any review period under such release will not modify the date of settlement with respect to vested RSUs.</w:t>
      </w:r>
    </w:p>
    <w:p>
      <w:pPr>
        <w:pStyle w:val="TextBody"/>
        <w:bidi w:val="0"/>
        <w:spacing w:before="0" w:after="0"/>
        <w:jc w:val="both"/>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385445"/>
                <wp:effectExtent l="0" t="0" r="0" b="0"/>
                <wp:wrapNone/>
                <wp:docPr id="88" name="Frame8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4"/>
        </w:rPr>
        <w:t>11.</w:t>
      </w:r>
      <w:r>
        <w:rPr>
          <w:rFonts w:ascii="Times New Roman;serif" w:hAnsi="Times New Roman;serif"/>
          <w:b/>
          <w:color w:val="000000"/>
          <w:sz w:val="24"/>
          <w:u w:val="single"/>
        </w:rPr>
        <w:t>No Right to Continued Employment, Service or Awards</w:t>
      </w:r>
      <w:r>
        <w:rPr>
          <w:rFonts w:ascii="Times New Roman;serif" w:hAnsi="Times New Roman;serif"/>
          <w:b w:val="false"/>
          <w:color w:val="000000"/>
          <w:sz w:val="24"/>
        </w:rPr>
        <w:t xml:space="preserve">. Nothing in the adoption of the Plan, nor the award of the RSUs thereunder pursuant to the Grant Notice and this Agreement, shall confer upon the Participant the right to continued employment by, or a continued service relationship with, the Company or any Affiliate, or any other entity, or affect in any way the right of the Company or any such Affiliate, or any other entity to terminate such employment or other service relationship at any time. Unless otherwise provided in a written employment agreement or by Applicable Law, the Participant’s employment by the Company, or any such Affiliate, or any other entity shall be on an at-will basis, and the employment relationship may be terminated at any time by either the Participant or the Company, or any such Affiliate, or other entity for any or no reason whatsoever, with or without Cause or notice. Any question as to whether and when there has been a termination of such employment, and the cause of such termination, shall be determined by the Committee or its delegate, and such determination shall be final, conclusive and binding for all purposes. The grant of the RSUs is a one-time benefit that was made at the sole discretion of the Company and does not create any contractual or other right to receive a grant of Awards or benefits in the future in lieu of Awards in the future, including any adjustment to wages, overtime, benefits or other compensation. Any future Awards will be granted at the sole discretion of the Company. </w:t>
      </w:r>
    </w:p>
    <w:p>
      <w:pPr>
        <w:pStyle w:val="TextBody"/>
        <w:bidi w:val="0"/>
        <w:spacing w:lineRule="auto" w:line="288" w:before="0" w:after="240"/>
        <w:ind w:left="0" w:right="0" w:firstLine="720"/>
        <w:jc w:val="both"/>
        <w:rPr/>
      </w:pPr>
      <w:r>
        <w:rPr>
          <w:rFonts w:ascii="Times New Roman;serif" w:hAnsi="Times New Roman;serif"/>
          <w:b/>
          <w:color w:val="000000"/>
          <w:sz w:val="24"/>
        </w:rPr>
        <w:t>12.</w:t>
      </w:r>
      <w:r>
        <w:rPr>
          <w:rFonts w:ascii="Times New Roman;serif" w:hAnsi="Times New Roman;serif"/>
          <w:b/>
          <w:color w:val="000000"/>
          <w:sz w:val="24"/>
          <w:u w:val="single"/>
        </w:rPr>
        <w:t>Legal and Equitable Remedies</w:t>
      </w:r>
      <w:r>
        <w:rPr>
          <w:rFonts w:ascii="Times New Roman;serif" w:hAnsi="Times New Roman;serif"/>
          <w:b w:val="false"/>
          <w:color w:val="000000"/>
          <w:sz w:val="24"/>
        </w:rPr>
        <w:t xml:space="preserve">. The Participant acknowledges that a violation or attempted breach of any of the Participant’s covenants and agreements in this Agreement will cause such damage as will be irreparable, the exact amount of which would be difficult to ascertain and for which there will be no adequate remedy at law, and accordingly, the parties hereto agree that the Company and its Affiliates shall be entitled as a matter of right to an injunction issued by any court of competent jurisdiction, restraining the Participant or the affiliates, partners or agents of the Participant from such breach or attempted violation of such covenants and agreements, as well as to recover from the Participant any and all costs and expenses sustained or incurred by the Company or any Affiliate in obtaining such an injunction, including reasonable attorneys’ fees. The parties to this Agreement agree that no bond or other security shall be required in connection with such injunction. Any exercise by either of the parties to this Agreement of its rights pursuant to this </w:t>
      </w:r>
      <w:r>
        <w:rPr>
          <w:rFonts w:ascii="Times New Roman;serif" w:hAnsi="Times New Roman;serif"/>
          <w:b w:val="false"/>
          <w:color w:val="000000"/>
          <w:sz w:val="24"/>
          <w:u w:val="single"/>
        </w:rPr>
        <w:t>Section 12</w:t>
      </w:r>
      <w:r>
        <w:rPr>
          <w:color w:val="000000"/>
        </w:rPr>
        <w:t xml:space="preserve"> </w:t>
      </w:r>
      <w:r>
        <w:rPr>
          <w:rFonts w:ascii="Times New Roman;serif" w:hAnsi="Times New Roman;serif"/>
          <w:b w:val="false"/>
          <w:color w:val="000000"/>
          <w:sz w:val="24"/>
        </w:rPr>
        <w:t>shall be cumulative and in addition to any other remedies to which such party may be entitled.</w:t>
      </w:r>
    </w:p>
    <w:p>
      <w:pPr>
        <w:pStyle w:val="TextBody"/>
        <w:bidi w:val="0"/>
        <w:spacing w:lineRule="auto" w:line="288" w:before="0" w:after="240"/>
        <w:ind w:left="0" w:right="0" w:firstLine="720"/>
        <w:jc w:val="both"/>
        <w:rPr/>
      </w:pPr>
      <w:r>
        <w:rPr>
          <w:rFonts w:ascii="Times New Roman;serif" w:hAnsi="Times New Roman;serif"/>
          <w:b/>
          <w:color w:val="000000"/>
          <w:sz w:val="24"/>
        </w:rPr>
        <w:t>13.</w:t>
      </w:r>
      <w:r>
        <w:rPr>
          <w:rFonts w:ascii="Times New Roman;serif" w:hAnsi="Times New Roman;serif"/>
          <w:b/>
          <w:color w:val="000000"/>
          <w:sz w:val="24"/>
          <w:u w:val="single"/>
        </w:rPr>
        <w:t>Notices</w:t>
      </w:r>
      <w:r>
        <w:rPr>
          <w:rFonts w:ascii="Times New Roman;serif" w:hAnsi="Times New Roman;serif"/>
          <w:b w:val="false"/>
          <w:color w:val="000000"/>
          <w:sz w:val="24"/>
        </w:rPr>
        <w:t>. All notices and other communications under this Agreement shall be in writing and shall be delivered to the parties at the following addresses (or at such other address for a party as shall be specified by like notice):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If to the Company, at the Company’s headquarters, to the attention of the General Counsel; and </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If to the Participant, at the Participant’s last known address on file with the Company.</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Any notice that is delivered personally or by overnight courier or telecopier in the manner provided herein shall be deemed to have been duly given to the Participant when it is mailed by the Company or, if such notice is not mailed to the Participant, upon receipt by the Participant. Any notice that is addressed and mailed in the manner herein provided shall be conclusively </w:t>
      </w:r>
    </w:p>
    <w:p>
      <w:pPr>
        <w:pStyle w:val="TextBody"/>
        <w:bidi w:val="0"/>
        <w:spacing w:before="0" w:after="0"/>
        <w:jc w:val="both"/>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385445"/>
                <wp:effectExtent l="0" t="0" r="0" b="0"/>
                <wp:wrapNone/>
                <wp:docPr id="89" name="Frame8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presumed to have been given to the party to whom it is addressed at the close of business, local time of the recipient, on the fourth day after the day it is so placed in the mail.</w:t>
      </w:r>
    </w:p>
    <w:p>
      <w:pPr>
        <w:pStyle w:val="TextBody"/>
        <w:bidi w:val="0"/>
        <w:spacing w:lineRule="auto" w:line="288" w:before="0" w:after="240"/>
        <w:ind w:left="0" w:right="0" w:firstLine="720"/>
        <w:jc w:val="both"/>
        <w:rPr/>
      </w:pPr>
      <w:r>
        <w:rPr>
          <w:rFonts w:ascii="Times New Roman;serif" w:hAnsi="Times New Roman;serif"/>
          <w:b/>
          <w:color w:val="000000"/>
          <w:sz w:val="24"/>
        </w:rPr>
        <w:t>14.</w:t>
      </w:r>
      <w:r>
        <w:rPr>
          <w:rFonts w:ascii="Times New Roman;serif" w:hAnsi="Times New Roman;serif"/>
          <w:b/>
          <w:color w:val="000000"/>
          <w:sz w:val="24"/>
          <w:u w:val="single"/>
        </w:rPr>
        <w:t>Consent to Electronic Delivery; Electronic Signature</w:t>
      </w:r>
      <w:r>
        <w:rPr>
          <w:rFonts w:ascii="Times New Roman;serif" w:hAnsi="Times New Roman;serif"/>
          <w:b w:val="false"/>
          <w:color w:val="000000"/>
          <w:sz w:val="24"/>
        </w:rPr>
        <w:t>. In lieu of receiving documents in paper format, the Participant agrees, to the fullest extent permitted by law, to accept electronic delivery of any documents that the Company may be required to deliver (including, but not limited to, prospectuses, prospectus supplements, grant or award notifications and agreements, account statements, annual and quarterly reports and all other forms of communications) in connection with this and any other Award made or offered by the Company. Electronic delivery may be via a Company electronic mail system or by reference to a location on a Company intranet to which the Participant has access, or to the Participant’s account with the Company’s equity plan administrator. The Participant hereby consents to any and all procedures the Company has established or may establish for an electronic signature system for delivery and acceptance of any such documents that the Company may be required to deliver, and agrees that the Participant’s electronic signature is the same as, and shall have the same force and effect as, the Participant’s manual signature.</w:t>
      </w:r>
    </w:p>
    <w:p>
      <w:pPr>
        <w:pStyle w:val="TextBody"/>
        <w:bidi w:val="0"/>
        <w:spacing w:lineRule="auto" w:line="288" w:before="0" w:after="240"/>
        <w:ind w:left="0" w:right="0" w:firstLine="720"/>
        <w:jc w:val="both"/>
        <w:rPr/>
      </w:pPr>
      <w:r>
        <w:rPr>
          <w:rFonts w:ascii="Times New Roman;serif" w:hAnsi="Times New Roman;serif"/>
          <w:b/>
          <w:color w:val="000000"/>
          <w:sz w:val="24"/>
        </w:rPr>
        <w:t>15.</w:t>
      </w:r>
      <w:r>
        <w:rPr>
          <w:rFonts w:ascii="Times New Roman;serif" w:hAnsi="Times New Roman;serif"/>
          <w:b/>
          <w:color w:val="000000"/>
          <w:sz w:val="24"/>
          <w:u w:val="single"/>
        </w:rPr>
        <w:t>Agreement to Furnish Information</w:t>
      </w:r>
      <w:r>
        <w:rPr>
          <w:rFonts w:ascii="Times New Roman;serif" w:hAnsi="Times New Roman;serif"/>
          <w:b w:val="false"/>
          <w:color w:val="000000"/>
          <w:sz w:val="24"/>
        </w:rPr>
        <w:t>. The Participant agrees to furnish to the Company all information requested by the Company to enable it to comply with any reporting or other requirement imposed upon the Company by or under any Applicable Law.</w:t>
      </w:r>
    </w:p>
    <w:p>
      <w:pPr>
        <w:pStyle w:val="TextBody"/>
        <w:bidi w:val="0"/>
        <w:spacing w:lineRule="auto" w:line="288" w:before="0" w:after="240"/>
        <w:ind w:left="0" w:right="0" w:firstLine="720"/>
        <w:jc w:val="both"/>
        <w:rPr/>
      </w:pPr>
      <w:r>
        <w:rPr>
          <w:rFonts w:ascii="Times New Roman;serif" w:hAnsi="Times New Roman;serif"/>
          <w:b/>
          <w:color w:val="000000"/>
          <w:sz w:val="24"/>
        </w:rPr>
        <w:t>16.</w:t>
      </w:r>
      <w:r>
        <w:rPr>
          <w:rFonts w:ascii="Times New Roman;serif" w:hAnsi="Times New Roman;serif"/>
          <w:b/>
          <w:color w:val="000000"/>
          <w:sz w:val="24"/>
          <w:u w:val="single"/>
        </w:rPr>
        <w:t>Entire Agreement; Amendment</w:t>
      </w:r>
      <w:r>
        <w:rPr>
          <w:rFonts w:ascii="Times New Roman;serif" w:hAnsi="Times New Roman;serif"/>
          <w:b w:val="false"/>
          <w:color w:val="000000"/>
          <w:sz w:val="24"/>
        </w:rPr>
        <w:t xml:space="preserve">. This Agreement constitutes the entire agreement of the parties with regard to the subject matter hereof, and contains all the covenants, promises, representations, warranties and agreements between the parties with respect to the RSUs granted hereby;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the terms of this Agreement shall not modify and shall be subject to the terms and conditions of any employment, consulting and/or severance agreement between the Company (or an Affiliate or other entity) and the Participant in effect as of the date a determination is to be made under this Agreement. Without limiting the scope of the preceding sentence, except as provided therein, all prior understandings and agreements, if any, among the parties hereto relating to the subject matter hereof are hereby null and void and of no further force and effect. The Committee may, in its sole discretion, amend this Agreement from time to time in any manner that is not inconsistent with the Plan;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except as otherwise provided in the Plan or this Agreement, any such amendment that materially reduces the rights of the Participant shall be effective only if it is in writing and signed by both the Participant and an authorized officer of the Company.  </w:t>
      </w:r>
    </w:p>
    <w:p>
      <w:pPr>
        <w:pStyle w:val="TextBody"/>
        <w:bidi w:val="0"/>
        <w:spacing w:lineRule="auto" w:line="288" w:before="0" w:after="240"/>
        <w:ind w:left="0" w:right="0" w:firstLine="720"/>
        <w:jc w:val="both"/>
        <w:rPr/>
      </w:pPr>
      <w:r>
        <w:rPr>
          <w:rFonts w:ascii="Times New Roman;serif" w:hAnsi="Times New Roman;serif"/>
          <w:b/>
          <w:color w:val="000000"/>
          <w:sz w:val="24"/>
        </w:rPr>
        <w:t>17.</w:t>
      </w:r>
      <w:r>
        <w:rPr>
          <w:rFonts w:ascii="Times New Roman;serif" w:hAnsi="Times New Roman;serif"/>
          <w:b/>
          <w:color w:val="000000"/>
          <w:sz w:val="24"/>
          <w:u w:val="single"/>
        </w:rPr>
        <w:t>Severability and Waiver</w:t>
      </w:r>
      <w:r>
        <w:rPr>
          <w:rFonts w:ascii="Times New Roman;serif" w:hAnsi="Times New Roman;serif"/>
          <w:b w:val="false"/>
          <w:color w:val="000000"/>
          <w:sz w:val="24"/>
        </w:rPr>
        <w:t>. If a court of competent jurisdiction determines that any provision of this Agreement is invalid or unenforceable, then the invalidity or unenforceability of such provision shall not affect the validity or enforceability of any other provision of this Agreement, and all other provisions shall remain in full force and effect. Waiver by any party of any breach of this Agreement or failure to exercise any right hereunder shall not be deemed to be a waiver of any other breach or right. The failure of any party to take action by reason of such breach or to exercise any such right shall not deprive the party of the right to take action at any time while or after such breach or condition giving rise to such rights continues.</w:t>
      </w:r>
    </w:p>
    <w:p>
      <w:pPr>
        <w:pStyle w:val="TextBody"/>
        <w:bidi w:val="0"/>
        <w:spacing w:before="0" w:after="0"/>
        <w:jc w:val="both"/>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385445"/>
                <wp:effectExtent l="0" t="0" r="0" b="0"/>
                <wp:wrapNone/>
                <wp:docPr id="90" name="Frame9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4"/>
        </w:rPr>
        <w:t>18.</w:t>
      </w:r>
      <w:r>
        <w:rPr>
          <w:rFonts w:ascii="Times New Roman;serif" w:hAnsi="Times New Roman;serif"/>
          <w:b/>
          <w:color w:val="000000"/>
          <w:sz w:val="24"/>
          <w:u w:val="single"/>
        </w:rPr>
        <w:t>Company Recoupment of Awards</w:t>
      </w:r>
      <w:r>
        <w:rPr>
          <w:rFonts w:ascii="Times New Roman;serif" w:hAnsi="Times New Roman;serif"/>
          <w:b w:val="false"/>
          <w:color w:val="000000"/>
          <w:sz w:val="24"/>
        </w:rPr>
        <w:t>. The Participant’s rights with respect to this Award shall in all events be subject to (a) any right that the Company may have under any Company recoupment or clawback policy or other agreement or arrangement with the Participant, and (b) any right or obligation that the Company may have regarding the clawback of “incentive-based compensation” under Section 10D of the Exchange Act and any applicable rules and regulations promulgated thereunder from time to time by the U.S. Securities and Exchange Commission or any other Applicable Law. The Participant’s acceptance of this Award will constitute the Participant’s acknowledgment of and consent to the Company’s application, implementation and enforcement of any Company recoupment, clawback or similar policy that may apply to the Participant and this Award, whether adopted before or after the Date of Grant (whether through clawback, cancellation, recoupment, rescission, payback, reduction or other similar action in accordance therewith) and any Applicable Law relating to clawback, cancellation, recoupment, rescission, payback or reduction of compensation or other similar action, and the Participant’s agreement that the Company may take any actions that may be necessary to effectuate any such policy or Applicable Law, without further consideration or action.</w:t>
      </w:r>
    </w:p>
    <w:p>
      <w:pPr>
        <w:pStyle w:val="TextBody"/>
        <w:bidi w:val="0"/>
        <w:spacing w:lineRule="auto" w:line="288" w:before="0" w:after="240"/>
        <w:ind w:left="0" w:right="0" w:firstLine="720"/>
        <w:jc w:val="both"/>
        <w:rPr/>
      </w:pPr>
      <w:r>
        <w:rPr>
          <w:rFonts w:ascii="Times New Roman;serif" w:hAnsi="Times New Roman;serif"/>
          <w:b/>
          <w:color w:val="000000"/>
          <w:sz w:val="24"/>
        </w:rPr>
        <w:t>19.</w:t>
      </w:r>
      <w:r>
        <w:rPr>
          <w:rFonts w:ascii="Times New Roman;serif" w:hAnsi="Times New Roman;serif"/>
          <w:b/>
          <w:color w:val="000000"/>
          <w:sz w:val="24"/>
          <w:u w:val="single"/>
        </w:rPr>
        <w:t>Governing Law</w:t>
      </w:r>
      <w:r>
        <w:rPr>
          <w:rFonts w:ascii="Times New Roman;serif" w:hAnsi="Times New Roman;serif"/>
          <w:b w:val="false"/>
          <w:color w:val="000000"/>
          <w:sz w:val="24"/>
        </w:rPr>
        <w:t>. THIS AGREEMENT SHALL BE GOVERNED BY AND CONSTRUED IN ACCORDANCE WITH THE LAWS OF THE STATE OF DELAWARE APPLICABLE TO CONTRACTS MADE AND TO BE PERFORMED THEREIN, EXCLUSIVE OF THE CONFLICT OF LAWS PROVISIONS OF DELAWARE LAW.</w:t>
      </w:r>
    </w:p>
    <w:p>
      <w:pPr>
        <w:pStyle w:val="TextBody"/>
        <w:bidi w:val="0"/>
        <w:spacing w:lineRule="auto" w:line="288" w:before="0" w:after="240"/>
        <w:ind w:left="0" w:right="0" w:firstLine="720"/>
        <w:jc w:val="both"/>
        <w:rPr/>
      </w:pPr>
      <w:r>
        <w:rPr>
          <w:rFonts w:ascii="Times New Roman;serif" w:hAnsi="Times New Roman;serif"/>
          <w:b/>
          <w:color w:val="000000"/>
          <w:sz w:val="24"/>
        </w:rPr>
        <w:t>20.</w:t>
      </w:r>
      <w:r>
        <w:rPr>
          <w:rFonts w:ascii="Times New Roman;serif" w:hAnsi="Times New Roman;serif"/>
          <w:b/>
          <w:color w:val="000000"/>
          <w:sz w:val="24"/>
          <w:u w:val="single"/>
        </w:rPr>
        <w:t>Successors and Assigns</w:t>
      </w:r>
      <w:r>
        <w:rPr>
          <w:rFonts w:ascii="Times New Roman;serif" w:hAnsi="Times New Roman;serif"/>
          <w:b w:val="false"/>
          <w:color w:val="000000"/>
          <w:sz w:val="24"/>
        </w:rPr>
        <w:t>. The Company may assign any of its rights under this Agreement without the Participant’s consent. This Agreement will be binding upon and inure to the benefit of the successors and assigns of the Company. Subject to the restrictions on transfer set forth herein and in the Plan, this Agreement will be binding upon the Participant and the Participant’s beneficiaries, executors, administrators and the Person(s) to whom the RSUs may be transferred by will or the laws of descent or distribution.</w:t>
      </w:r>
    </w:p>
    <w:p>
      <w:pPr>
        <w:pStyle w:val="TextBody"/>
        <w:bidi w:val="0"/>
        <w:spacing w:lineRule="auto" w:line="288" w:before="0" w:after="240"/>
        <w:ind w:left="0" w:right="0" w:firstLine="720"/>
        <w:jc w:val="both"/>
        <w:rPr/>
      </w:pPr>
      <w:r>
        <w:rPr>
          <w:rFonts w:ascii="Times New Roman;serif" w:hAnsi="Times New Roman;serif"/>
          <w:b/>
          <w:color w:val="000000"/>
          <w:sz w:val="24"/>
        </w:rPr>
        <w:t>21.</w:t>
      </w:r>
      <w:r>
        <w:rPr>
          <w:rFonts w:ascii="Times New Roman;serif" w:hAnsi="Times New Roman;serif"/>
          <w:b/>
          <w:color w:val="000000"/>
          <w:sz w:val="24"/>
          <w:u w:val="single"/>
        </w:rPr>
        <w:t>Headings; References; Interpretation</w:t>
      </w:r>
      <w:r>
        <w:rPr>
          <w:rFonts w:ascii="Times New Roman;serif" w:hAnsi="Times New Roman;serif"/>
          <w:b w:val="false"/>
          <w:color w:val="000000"/>
          <w:sz w:val="24"/>
        </w:rPr>
        <w:t xml:space="preserve">. Headings are for convenience only and are not deemed to be part of this Agreement. The words “hereof,” “herein” and “hereunder” and words of similar import, when used in this Agreement, shall refer to this Agreement as a whole and not to any particular provision of this Agreement. All references herein to Sections shall, unless the context requires a different construction, be deemed to be references to the Sections of this Agreement. The word “or” as used herein is not exclusive and is deemed to have the meaning “and/or.” All references to “including” shall be construed as meaning “including without limitation.” Unless the context requires otherwise, all references herein to a law, agreement, instrument or other document shall be deemed to refer to such law, agreement, instrument or other document as amended, supplemented, modified and restated from time to time to the extent permitted by the provisions thereof. All references to “dollars” or “$” in this Agreement refer to United States dollars. Whenever the context may require, the singular form of nouns and pronouns shall include the plural and vice versa. Neither this Agreement nor any uncertainty or ambiguity herein shall be construed or resolved against any party hereto, whether under any rule of construction or otherwise. On the contrary, this Agreement has been reviewed by each of the parties hereto and shall be construed and interpreted according to the ordinary </w:t>
      </w:r>
    </w:p>
    <w:p>
      <w:pPr>
        <w:pStyle w:val="TextBody"/>
        <w:bidi w:val="0"/>
        <w:spacing w:before="0" w:after="0"/>
        <w:jc w:val="both"/>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385445"/>
                <wp:effectExtent l="0" t="0" r="0" b="0"/>
                <wp:wrapNone/>
                <wp:docPr id="91" name="Frame9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meaning of the words used so as to fairly accomplish the purposes and intentions of the parties hereto.</w:t>
      </w:r>
    </w:p>
    <w:p>
      <w:pPr>
        <w:pStyle w:val="TextBody"/>
        <w:bidi w:val="0"/>
        <w:spacing w:lineRule="auto" w:line="288" w:before="0" w:after="240"/>
        <w:ind w:left="0" w:right="0" w:firstLine="720"/>
        <w:jc w:val="both"/>
        <w:rPr/>
      </w:pPr>
      <w:r>
        <w:rPr>
          <w:rFonts w:ascii="Times New Roman;serif" w:hAnsi="Times New Roman;serif"/>
          <w:b/>
          <w:color w:val="000000"/>
          <w:sz w:val="24"/>
        </w:rPr>
        <w:t>22.</w:t>
      </w:r>
      <w:r>
        <w:rPr>
          <w:rFonts w:ascii="Times New Roman;serif" w:hAnsi="Times New Roman;serif"/>
          <w:b/>
          <w:color w:val="000000"/>
          <w:sz w:val="24"/>
          <w:u w:val="single"/>
        </w:rPr>
        <w:t>Counterparts</w:t>
      </w:r>
      <w:r>
        <w:rPr>
          <w:rFonts w:ascii="Times New Roman;serif" w:hAnsi="Times New Roman;serif"/>
          <w:b w:val="false"/>
          <w:color w:val="000000"/>
          <w:sz w:val="24"/>
        </w:rPr>
        <w:t xml:space="preserve">.  The Grant Notice may be executed in one or more counterparts, each of which shall be deemed an original and all of which together shall constitute one instrument. Delivery of an executed counterpart of the Grant Notice by facsimile or portable document format (.pdf) attachment to electronic mail or via electronic acceptance in accordance with </w:t>
      </w:r>
      <w:r>
        <w:rPr>
          <w:rFonts w:ascii="Times New Roman;serif" w:hAnsi="Times New Roman;serif"/>
          <w:b w:val="false"/>
          <w:color w:val="000000"/>
          <w:sz w:val="24"/>
          <w:u w:val="single"/>
        </w:rPr>
        <w:t xml:space="preserve">Section 14 </w:t>
      </w:r>
      <w:r>
        <w:rPr>
          <w:rFonts w:ascii="Times New Roman;serif" w:hAnsi="Times New Roman;serif"/>
          <w:b w:val="false"/>
          <w:color w:val="000000"/>
          <w:sz w:val="24"/>
        </w:rPr>
        <w:t>shall be effective as delivery of a manually executed counterpart of the Grant Notice.</w:t>
      </w:r>
    </w:p>
    <w:p>
      <w:pPr>
        <w:pStyle w:val="TextBody"/>
        <w:bidi w:val="0"/>
        <w:spacing w:lineRule="auto" w:line="288" w:before="0" w:after="240"/>
        <w:ind w:left="0" w:right="0" w:firstLine="720"/>
        <w:jc w:val="both"/>
        <w:rPr/>
      </w:pPr>
      <w:r>
        <w:rPr>
          <w:rFonts w:ascii="Times New Roman;serif" w:hAnsi="Times New Roman;serif"/>
          <w:b/>
          <w:color w:val="000000"/>
          <w:sz w:val="24"/>
        </w:rPr>
        <w:t>23.</w:t>
      </w:r>
      <w:r>
        <w:rPr>
          <w:rFonts w:ascii="Times New Roman;serif" w:hAnsi="Times New Roman;serif"/>
          <w:b/>
          <w:color w:val="000000"/>
          <w:sz w:val="24"/>
          <w:u w:val="single"/>
        </w:rPr>
        <w:t>Section 409A</w:t>
      </w:r>
      <w:r>
        <w:rPr>
          <w:rFonts w:ascii="Times New Roman;serif" w:hAnsi="Times New Roman;serif"/>
          <w:b w:val="false"/>
          <w:color w:val="000000"/>
          <w:sz w:val="24"/>
        </w:rPr>
        <w:t>. The Plan, this Agreement and the RSUs are intended to comply with or be exempt from the applicable requirements of Section 409A of the Code and shall be limited, construed, and interpreted in accordance with such intent. Notwithstanding any contrary provision in the Plan or this Agreement, any payment(s) of “nonqualified deferred compensation” (within the meaning of Section 409A of the Code) that are otherwise required to be made under the Plan or this Agreement to a “specified employee” (as defined under Section 409A of the Code) as a result of such employee’s separation from service (other than a payment that is not subject to Section 409A of the Code) shall be delayed for the first six (6) months following such separation from service (or, if earlier, until the date of death of the specified employee) and shall instead be paid (in a manner set forth in this Agreement) upon expiration of such delay period. Notwithstanding the foregoing, the Company and its Affiliates make no representations that the RSUs provided under this Agreement are exempt from or compliant with Section 409A of the Code and in no event shall the Company or any Affiliate be liable for all or any portion of any taxes, penalties, interest or other expenses that may be incurred by the Participant on account of non-compliance with Section 409A of the Code.</w:t>
      </w:r>
    </w:p>
    <w:p>
      <w:pPr>
        <w:pStyle w:val="TextBody"/>
        <w:bidi w:val="0"/>
        <w:spacing w:before="0" w:after="240"/>
        <w:jc w:val="both"/>
        <w:rPr/>
      </w:pPr>
      <w:r>
        <w:rPr/>
      </w:r>
    </w:p>
    <w:p>
      <w:pPr>
        <w:pStyle w:val="TextBody"/>
        <w:bidi w:val="0"/>
        <w:spacing w:lineRule="auto" w:line="240" w:before="0" w:after="240"/>
        <w:jc w:val="center"/>
        <w:rPr>
          <w:rFonts w:ascii="Times New Roman;serif" w:hAnsi="Times New Roman;serif"/>
          <w:b w:val="false"/>
          <w:i/>
          <w:color w:val="000000"/>
          <w:sz w:val="24"/>
        </w:rPr>
      </w:pPr>
      <w:r>
        <w:rPr>
          <w:rFonts w:ascii="Times New Roman;serif" w:hAnsi="Times New Roman;serif"/>
          <w:b w:val="false"/>
          <w:i/>
          <w:color w:val="000000"/>
          <w:sz w:val="24"/>
        </w:rPr>
        <w:t>[Remainder of Page Intentionally Blank]</w:t>
      </w:r>
    </w:p>
    <w:p>
      <w:pPr>
        <w:pStyle w:val="TextBody"/>
        <w:bidi w:val="0"/>
        <w:spacing w:before="0" w:after="240"/>
        <w:jc w:val="both"/>
        <w:rPr/>
      </w:pPr>
      <w:r>
        <w:rPr/>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385445"/>
                <wp:effectExtent l="0" t="0" r="0" b="0"/>
                <wp:wrapNone/>
                <wp:docPr id="92" name="Frame9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ind w:left="0" w:right="0" w:firstLine="1080"/>
        <w:jc w:val="center"/>
        <w:rPr>
          <w:rFonts w:ascii="Times New Roman;serif" w:hAnsi="Times New Roman;serif"/>
          <w:b/>
          <w:color w:val="000000"/>
          <w:sz w:val="24"/>
        </w:rPr>
      </w:pPr>
      <w:r>
        <w:rPr>
          <w:rFonts w:ascii="Times New Roman;serif" w:hAnsi="Times New Roman;serif"/>
          <w:b/>
          <w:color w:val="000000"/>
          <w:sz w:val="24"/>
        </w:rPr>
        <w:t>EXHIBIT B</w:t>
      </w:r>
    </w:p>
    <w:p>
      <w:pPr>
        <w:pStyle w:val="TextBody"/>
        <w:bidi w:val="0"/>
        <w:spacing w:before="0" w:after="0"/>
        <w:ind w:left="0" w:right="0" w:firstLine="1080"/>
        <w:jc w:val="center"/>
        <w:rPr/>
      </w:pPr>
      <w:r>
        <w:rPr/>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RESTRICTIVE COVENANTS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Company and its subsidiaries operate in a highly sensitive and competitive commercial environment. As part of the Participant’s employment and/or service with the Company and its subsidiaries, the Participant has had and will be exposed to highly confidential and sensitive information regarding the business operations of the Company and its subsidiaries, including corporate strategy, pricing, and other market information, know-how, trade secrets, and valuable customer, supplier, lessor, regulatory, and employee relationships. It is critical that the Company take all necessary steps to safeguard its legitimate protectable interests in such information and to prevent any of its competitors or any other Persons from obtaining any such information. Therefore, in exchange for good, valuable, sufficient, and mutually-agreed-upon consideration, including, without limitation, the Company’s agreement to award RSUs to the Participant; the Participant’s access to Confidential Information, customer lists, and other valuable and proprietary information of the Company and its subsidiaries; and the Company’s provision of specialized training and other professional benefits and resources to the Participant, each Participant agrees to be bound by the following restrictive covenants:</w:t>
      </w:r>
    </w:p>
    <w:p>
      <w:pPr>
        <w:pStyle w:val="TextBody"/>
        <w:bidi w:val="0"/>
        <w:spacing w:before="0" w:after="0"/>
        <w:jc w:val="both"/>
        <w:rPr/>
      </w:pPr>
      <w:r>
        <w:rPr/>
      </w:r>
    </w:p>
    <w:p>
      <w:pPr>
        <w:pStyle w:val="TextBody"/>
        <w:bidi w:val="0"/>
        <w:spacing w:lineRule="auto" w:line="288" w:before="0" w:after="240"/>
        <w:ind w:left="0" w:right="0" w:hanging="360"/>
        <w:jc w:val="both"/>
        <w:rPr/>
      </w:pPr>
      <w:r>
        <w:rPr>
          <w:rFonts w:ascii="Times New Roman;serif" w:hAnsi="Times New Roman;serif"/>
          <w:b/>
          <w:color w:val="000000"/>
          <w:sz w:val="24"/>
        </w:rPr>
        <w:t>1.</w:t>
      </w:r>
      <w:r>
        <w:rPr>
          <w:rFonts w:ascii="Times New Roman;serif" w:hAnsi="Times New Roman;serif"/>
          <w:b/>
          <w:color w:val="000000"/>
          <w:sz w:val="24"/>
          <w:u w:val="single"/>
        </w:rPr>
        <w:t>Confidentiality</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The Participant agrees that, during the period of the Participant’s employment and/or service with the Company or its subsidiaries and thereafter (or to the maximum extent permitted by applicable law), the Participant shall not, without the express, written consent of the relevant member of the Company or its subsidiaries, disclose to any Person, or use or otherwise exploit for the Participant’s own benefit or for the benefit of any other Person, any of the Company’s or its subsidiaries’ Confidential Information, except as may be required in the course of the Participant’s employment and/or service with the Company or its subsidiaries. For this purpose, “</w:t>
      </w:r>
      <w:r>
        <w:rPr>
          <w:rFonts w:ascii="Times New Roman;serif" w:hAnsi="Times New Roman;serif"/>
          <w:b/>
          <w:color w:val="000000"/>
          <w:sz w:val="24"/>
          <w:u w:val="single"/>
        </w:rPr>
        <w:t>Confidential Information</w:t>
      </w:r>
      <w:r>
        <w:rPr>
          <w:color w:val="000000"/>
        </w:rPr>
        <w:t xml:space="preserve">” </w:t>
      </w:r>
      <w:r>
        <w:rPr>
          <w:rFonts w:ascii="Times New Roman;serif" w:hAnsi="Times New Roman;serif"/>
          <w:b w:val="false"/>
          <w:color w:val="000000"/>
          <w:sz w:val="24"/>
        </w:rPr>
        <w:t xml:space="preserve">means the confidential and proprietary information of the Company or its subsidiaries in whatever form (including in written, oral, visual or electronic form or on any magnetic or optical disc or memory and wherever located) and includes, but is not limited to, information relating to: internal business and management practices and procedures; salary, bonus, and other personal information relating to employees or consultants of the Company or its subsidiaries; corporate financial and business information, strategies and plans of the Company or its subsidiaries; corporate human resource information; litigation affecting the Company or its subsidiaries or their employees, officers, or directors; information relating to customers; marketing plans and strategies; product information; market information, processes, trade secrets, inventions, know-how, and methods and procedures of operation; information relating to suppliers, advertising, contractual relations, performance, sales, pricing, financial, ideas, data, and concepts originated by the Company or its subsidiaries and/or Persons with whom the Company or its subsidiaries may have business relationships;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Confidential Information shall not include information which (i) is or becomes generally available to the public other than as a result of a disclosure by the Participant or its affiliates in violation of this Exhibit B, (ii) which is developed independently by the Participant or its affiliates after the Date of Grant without violating the obligations set forth herein or (iii) is required to be disclosed pursuant to any law or order applicable to the Participant or its affiliates. </w:t>
      </w:r>
    </w:p>
    <w:p>
      <w:pPr>
        <w:pStyle w:val="TextBody"/>
        <w:bidi w:val="0"/>
        <w:spacing w:before="0" w:after="0"/>
        <w:jc w:val="both"/>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385445"/>
                <wp:effectExtent l="0" t="0" r="0" b="0"/>
                <wp:wrapNone/>
                <wp:docPr id="93" name="Frame9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18 U.S.C. §1833(b) provides: “An individual shall not be held criminally or civilly liable under any Federal or State trade secret law for the disclosure of a trade secret that (i) is made (A) in confidence to a federal, state, or local government official, either directly or indirectly, or to an attorney; and (B) solely for the purpose of reporting or investigating a suspected violation of law; or (ii) is made in a complaint or other document filed in a lawsuit or other proceeding, if such filing is made under seal.” Nothing in this Exhibit B is intended to conflict with 18 U.S.C. §1833(b) or create liability for disclosures of trade secrets that are expressly allowed by 18 U.S.C. §1833(b). Accordingly, the parties to this Exhibit B have the right to disclose in confidence trade secrets to federal, state, and local government officials, or to an attorney, for the sole purpose of reporting or investigating a suspected violation of law. The parties also have the right to disclose trade secrets in a document filed in a lawsuit or other proceeding, but only if the filing is made under seal and protected from public disclosure.</w:t>
      </w:r>
    </w:p>
    <w:p>
      <w:pPr>
        <w:pStyle w:val="TextBody"/>
        <w:bidi w:val="0"/>
        <w:spacing w:lineRule="auto" w:line="288" w:before="0" w:after="240"/>
        <w:jc w:val="both"/>
        <w:rPr/>
      </w:pPr>
      <w:r>
        <w:rPr>
          <w:rFonts w:ascii="Times New Roman;serif" w:hAnsi="Times New Roman;serif"/>
          <w:b/>
          <w:color w:val="000000"/>
          <w:sz w:val="24"/>
        </w:rPr>
        <w:t>2.</w:t>
      </w:r>
      <w:r>
        <w:rPr>
          <w:rFonts w:ascii="Times New Roman;serif" w:hAnsi="Times New Roman;serif"/>
          <w:b/>
          <w:color w:val="000000"/>
          <w:sz w:val="24"/>
          <w:u w:val="single"/>
        </w:rPr>
        <w:t>Non-Competition.</w:t>
      </w:r>
      <w:r>
        <w:rPr>
          <w:color w:val="000000"/>
        </w:rPr>
        <w:t xml:space="preserve"> </w:t>
      </w:r>
      <w:r>
        <w:rPr>
          <w:rFonts w:ascii="Times New Roman;serif" w:hAnsi="Times New Roman;serif"/>
          <w:b w:val="false"/>
          <w:color w:val="000000"/>
          <w:sz w:val="24"/>
        </w:rPr>
        <w:t xml:space="preserve">During the period commencing on the Date of Grant and ending on the first anniversary of the Participant’s termination of employment or service with the Company or its subsidiaries (the “Restricted Period”), the Participant shall not, directly or indirectly, individually or on behalf of any Person, company, enterprise, or entity, or as a sole proprietor, partner, equityholder, director, officer, principal, agent, employee or executive, or in any other capacity or relationship, (i) own any interest in, participate in (whether as a director, officer, employee, member or partner), consult with, render services for (including as an employee), or in any manner engage in, or on behalf of, any business or enterprise, in each case, that is competitive with (A) the business conducted in the Mechanical (including heating, ventilation and air conditioning), Electrical and Plumbing industry and (B) any other business (1) engaged in by the Company or any of its subsidiaries or (2) in which the Company or any of its subsidiaries has taken any actual, concrete steps or is planning to take such actual, concrete steps to conduct business, including by submitting a letter of intention or similar indication of interest, entering into a confidentiality agreement or inclusion in a “deal pipeline” sheet which is presented to the Board, in each case, with respect to the potential acquisition or similar transaction of a business conducting such business activities, in each case, as of the date hereof and through the date of Participant’s last date of employment with the Company or any of its subsidiaries (collectively, the “Business”), within any state, territory, jurisdiction or other locality within the United States in which the Company or its subsidiaries engages in the Business and in which the Participant provided services during the last twenty-four (24) months of the Participant’s employment or service with the Company or its subsidiaries, or (ii) take any preparatory steps to engage in any of the activities described in clause (i) above; provided, however, that nothing in this Section 2 shall prevent the Participant or any of its affiliates from being a passive owner of less than two percent (2%) of any Person’s publicly traded securities, so long as neither the Participant nor any of its affiliates has any active participation in the business thereto. Additionally, nothing in this Section 2 shall prevent the Participant from, following the Participant’s termination of employment or service with the Company or its subsidiaries, being employed or engaged by any person or entity where such work would not involve any level of strategic, advisory, technical, creative, or sales, or other activity similar to that which the Participant provided to the Company or its subsidiaries. </w:t>
      </w:r>
    </w:p>
    <w:p>
      <w:pPr>
        <w:pStyle w:val="TextBody"/>
        <w:bidi w:val="0"/>
        <w:spacing w:before="0" w:after="0"/>
        <w:jc w:val="both"/>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385445"/>
                <wp:effectExtent l="0" t="0" r="0" b="0"/>
                <wp:wrapNone/>
                <wp:docPr id="94" name="Frame9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color w:val="000000"/>
          <w:sz w:val="24"/>
        </w:rPr>
        <w:t>3.</w:t>
      </w:r>
      <w:r>
        <w:rPr>
          <w:rFonts w:ascii="Times New Roman;serif" w:hAnsi="Times New Roman;serif"/>
          <w:b/>
          <w:color w:val="000000"/>
          <w:sz w:val="24"/>
          <w:u w:val="single"/>
        </w:rPr>
        <w:t>Non-Solicitation.</w:t>
      </w:r>
      <w:r>
        <w:rPr>
          <w:color w:val="000000"/>
        </w:rPr>
        <w:t xml:space="preserve"> </w:t>
      </w:r>
      <w:r>
        <w:rPr>
          <w:rFonts w:ascii="Times New Roman;serif" w:hAnsi="Times New Roman;serif"/>
          <w:b w:val="false"/>
          <w:color w:val="000000"/>
          <w:sz w:val="24"/>
        </w:rPr>
        <w:t>During the Restricted Period, the Participant shall not, directly or indirectly, (a) for purposes of engaging in competition with the Business, solicit or induce, or in any manner attempt to solicit or induce, any employee, independent contractor, consultant, or other individual service provider of the Company or its subsidiaries to terminate his or her employment or services (or in the case of a consultant, materially reducing such services) or in any way interfere with or disrupt the relationship between any such Person and the Company or its subsidiaries, (b) for purposes of engaging in competition with the Business, hire or engage any individual that is or within twelve (12) months of such proposed hiring or engagement was an employee or independent contractor of the Company or its subsidiaries or (c) solicit or induce, or in any manner attempt to solicit or induce, any customer, client, or other business relation of the Company or any of its subsidiaries with whom the Participant had material contact or about whom the Participant obtained Confidential Information during the Participant’s employment or service to cease doing business with, reduce the amount of business conducted with, or alter the terms of the relationship with, the Company or its subsidiaries or in any way interfere with the relationship between any such customer, client, or business relation and the Company or its subsidiaries; provided, that generalized advertisement of employment opportunities including in trade or industry publications (not focused specifically on or directed in any way at the employees or an employee of Company or its subsidiaries) shall not be deemed to cause a breach of this Section 3.</w:t>
      </w:r>
    </w:p>
    <w:p>
      <w:pPr>
        <w:pStyle w:val="TextBody"/>
        <w:bidi w:val="0"/>
        <w:spacing w:lineRule="auto" w:line="288" w:before="0" w:after="240"/>
        <w:jc w:val="both"/>
        <w:rPr/>
      </w:pPr>
      <w:r>
        <w:rPr>
          <w:rFonts w:ascii="Times New Roman;serif" w:hAnsi="Times New Roman;serif"/>
          <w:b/>
          <w:color w:val="000000"/>
          <w:sz w:val="24"/>
        </w:rPr>
        <w:t>4.</w:t>
      </w:r>
      <w:r>
        <w:rPr>
          <w:rFonts w:ascii="Times New Roman;serif" w:hAnsi="Times New Roman;serif"/>
          <w:b/>
          <w:color w:val="000000"/>
          <w:sz w:val="24"/>
          <w:u w:val="single"/>
        </w:rPr>
        <w:t>Non-Disparagement.</w:t>
      </w:r>
      <w:r>
        <w:rPr>
          <w:color w:val="000000"/>
        </w:rPr>
        <w:t xml:space="preserve"> </w:t>
      </w:r>
      <w:r>
        <w:rPr>
          <w:rFonts w:ascii="Times New Roman;serif" w:hAnsi="Times New Roman;serif"/>
          <w:b w:val="false"/>
          <w:color w:val="000000"/>
          <w:sz w:val="24"/>
        </w:rPr>
        <w:t xml:space="preserve">The Participant agrees that, subject to Section 8 below, from and after the Date of Grant through the Restricted Period, the Participant will not, and will cause each of its controlled affiliates not to, make, publish, or communicate any Disparaging Statements regarding the Company or its subsidiaries or their affiliates (or their respective businesses, products or services), or their respective current or former directors, officers, managers, members, partners, employees or direct or indirect equityholders. “Disparaging Statement” means any written or oral statement of fact that is false and that is intended to, or would reasonably be expected to, materially harm the reputation of the subject thereof; for the avoidance of doubt, statements of opinion (that do not imply false, undisclosed facts), privileged communications, and truthful statements made without malice shall not constitute Disparaging Statements. Notwithstanding the foregoing, nothing in this Section 4 shall prohibit the Participant from complying with any applicable law or regulation or a valid order of a court of competent jurisdiction or administrative or arbitral proceedings or an authorized government agency or truthful testimony given in response to a lawful subpoena. </w:t>
      </w:r>
    </w:p>
    <w:p>
      <w:pPr>
        <w:pStyle w:val="TextBody"/>
        <w:bidi w:val="0"/>
        <w:spacing w:lineRule="auto" w:line="288" w:before="0" w:after="240"/>
        <w:jc w:val="both"/>
        <w:rPr/>
      </w:pPr>
      <w:r>
        <w:rPr>
          <w:rFonts w:ascii="Times New Roman;serif" w:hAnsi="Times New Roman;serif"/>
          <w:b/>
          <w:color w:val="000000"/>
          <w:sz w:val="24"/>
        </w:rPr>
        <w:t>5.</w:t>
      </w:r>
      <w:r>
        <w:rPr>
          <w:rFonts w:ascii="Times New Roman;serif" w:hAnsi="Times New Roman;serif"/>
          <w:b/>
          <w:color w:val="000000"/>
          <w:sz w:val="24"/>
          <w:u w:val="single"/>
        </w:rPr>
        <w:t>Acknowledgment.</w:t>
      </w:r>
      <w:r>
        <w:rPr>
          <w:color w:val="000000"/>
        </w:rPr>
        <w:t xml:space="preserve"> </w:t>
      </w:r>
      <w:r>
        <w:rPr>
          <w:rFonts w:ascii="Times New Roman;serif" w:hAnsi="Times New Roman;serif"/>
          <w:b w:val="false"/>
          <w:color w:val="000000"/>
          <w:sz w:val="24"/>
        </w:rPr>
        <w:t xml:space="preserve">The Participant acknowledges that (a) the Company and its affiliates would be irreparably damaged if the Participant or any of the Participant’s affiliates were to breach any of the covenants set forth in this Exhibit B, (b) the covenants set forth in this Exhibit B are necessary for the protection of the Company’s and its affiliates’ Confidential Information, trade secrets, customer lists, and other legitimate, protectable business interests, and the Company would not have entered into the Agreement without such covenants, (c) the restrictions contained in this Exhibit B are reasonable with respect to subject matter, time period and geographical area, and (d) the Participant is entering into this Exhibit B in exchange for good, valuable, and mutually-agreed-upon consideration that is independent of the Participant’s </w:t>
      </w:r>
    </w:p>
    <w:p>
      <w:pPr>
        <w:pStyle w:val="TextBody"/>
        <w:bidi w:val="0"/>
        <w:spacing w:before="0" w:after="0"/>
        <w:jc w:val="both"/>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385445"/>
                <wp:effectExtent l="0" t="0" r="0" b="0"/>
                <wp:wrapNone/>
                <wp:docPr id="95" name="Frame9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employment with the Company, including, without limitation, the grant of RSUs contemplated by the Agreement.</w:t>
      </w:r>
    </w:p>
    <w:p>
      <w:pPr>
        <w:pStyle w:val="TextBody"/>
        <w:bidi w:val="0"/>
        <w:spacing w:lineRule="auto" w:line="288" w:before="0" w:after="240"/>
        <w:jc w:val="both"/>
        <w:rPr/>
      </w:pPr>
      <w:r>
        <w:rPr>
          <w:rFonts w:ascii="Times New Roman;serif" w:hAnsi="Times New Roman;serif"/>
          <w:b/>
          <w:color w:val="000000"/>
          <w:sz w:val="24"/>
        </w:rPr>
        <w:t>6.</w:t>
      </w:r>
      <w:r>
        <w:rPr>
          <w:rFonts w:ascii="Times New Roman;serif" w:hAnsi="Times New Roman;serif"/>
          <w:b/>
          <w:color w:val="000000"/>
          <w:sz w:val="24"/>
          <w:u w:val="single"/>
        </w:rPr>
        <w:t>Injunctive Relief; Modification.</w:t>
      </w:r>
      <w:r>
        <w:rPr>
          <w:color w:val="000000"/>
        </w:rPr>
        <w:t xml:space="preserve"> </w:t>
      </w:r>
      <w:r>
        <w:rPr>
          <w:rFonts w:ascii="Times New Roman;serif" w:hAnsi="Times New Roman;serif"/>
          <w:b w:val="false"/>
          <w:color w:val="000000"/>
          <w:sz w:val="24"/>
        </w:rPr>
        <w:t>The Participant agrees that the Company would suffer irreparable harm and continuing damage for which money damages would be insufficient if the Participant was to breach any of the restrictions in this Exhibit B. As such, the Participant agrees that in the event of any such breach, the Company will be entitled to an injunction, a decree for specific performance, other equitable relief in a court of appropriate jurisdiction, and all other relief as may be proper (including money damages if appropriate), to the extent permitted by law, without the need to post any bond. If a court or arbitrator of competent jurisdiction finds any of the restrictions in this Exhibit B to be excessively broad as to duration, activity, or subject, it is the intention of the parties that such court or arbitrator shall modify such restrictions so as to render them enforceable to the maximum extent allowed by applicable law, and shall enforce them as so modified.</w:t>
      </w:r>
    </w:p>
    <w:p>
      <w:pPr>
        <w:pStyle w:val="TextBody"/>
        <w:bidi w:val="0"/>
        <w:spacing w:lineRule="auto" w:line="288" w:before="0" w:after="240"/>
        <w:jc w:val="both"/>
        <w:rPr/>
      </w:pPr>
      <w:r>
        <w:rPr>
          <w:rFonts w:ascii="Times New Roman;serif" w:hAnsi="Times New Roman;serif"/>
          <w:b/>
          <w:color w:val="000000"/>
          <w:sz w:val="24"/>
        </w:rPr>
        <w:t>7.</w:t>
      </w:r>
      <w:r>
        <w:rPr>
          <w:rFonts w:ascii="Times New Roman;serif" w:hAnsi="Times New Roman;serif"/>
          <w:b/>
          <w:color w:val="000000"/>
          <w:sz w:val="24"/>
          <w:u w:val="single"/>
        </w:rPr>
        <w:t>Amendments; Definitions.</w:t>
      </w:r>
      <w:r>
        <w:rPr>
          <w:color w:val="000000"/>
        </w:rPr>
        <w:t xml:space="preserve"> </w:t>
      </w:r>
      <w:r>
        <w:rPr>
          <w:rFonts w:ascii="Times New Roman;serif" w:hAnsi="Times New Roman;serif"/>
          <w:b w:val="false"/>
          <w:color w:val="000000"/>
          <w:sz w:val="24"/>
        </w:rPr>
        <w:t>Without limiting the foregoing, the Company may amend any restrictive covenant provisions or obligations herein without the Participant’s consent or approval to provide for less restrictive limitations as to duration, geographical area, scope of activity to be restrained, or to incorporate legal developments that do not make any limitations herein more restrictive. Capitalized terms used but not defined in this Exhibit B shall have the meanings ascribed to such terms in the Restricted Stock Unit Agreement to which this Exhibit B is attached (the “Agreement”).</w:t>
      </w:r>
    </w:p>
    <w:p>
      <w:pPr>
        <w:pStyle w:val="TextBody"/>
        <w:bidi w:val="0"/>
        <w:spacing w:lineRule="auto" w:line="288" w:before="0" w:after="240"/>
        <w:jc w:val="both"/>
        <w:rPr/>
      </w:pPr>
      <w:r>
        <w:rPr>
          <w:rFonts w:ascii="Times New Roman;serif" w:hAnsi="Times New Roman;serif"/>
          <w:b/>
          <w:color w:val="000000"/>
          <w:sz w:val="24"/>
        </w:rPr>
        <w:t>8.</w:t>
      </w:r>
      <w:r>
        <w:rPr>
          <w:rFonts w:ascii="Times New Roman;serif" w:hAnsi="Times New Roman;serif"/>
          <w:b/>
          <w:color w:val="000000"/>
          <w:sz w:val="24"/>
          <w:u w:val="single"/>
        </w:rPr>
        <w:t>Whistleblower Protections.</w:t>
      </w:r>
      <w:r>
        <w:rPr>
          <w:color w:val="000000"/>
        </w:rPr>
        <w:t xml:space="preserve"> </w:t>
      </w:r>
      <w:r>
        <w:rPr>
          <w:rFonts w:ascii="Times New Roman;serif" w:hAnsi="Times New Roman;serif"/>
          <w:b w:val="false"/>
          <w:color w:val="000000"/>
          <w:sz w:val="24"/>
        </w:rPr>
        <w:t xml:space="preserve">Nothing in this Exhibit B or the Agreement prevents or prohibits the Participant from (a) reporting possible violations of any applicable law or regulation to any governmental agency or entity, including but not limited to, the United States Department of Justice, the United States Securities and Exchange Commission, the United States Congress, and any Inspector General of any United States federal agency (“Governmental Agencies”), or making other disclosures of relevant and necessary information or documents in any action, investigation, or proceeding as required by law or legal process, including with respect to disclosures that are protected under the whistleblower provisions of United States federal, state or local law or regulation, (b) participating, cooperating, or testifying in any action, investigation, or proceeding with, or providing information to, any Governmental Agency, and/or pursuant to the Sarbanes-Oxley Act; (c) seeking or accepting any U.S. Securities and Exchange Commission awards or other relief in connection with protected whistleblower activity; or (d) initiating communications with, or responding to any inquiry from, any regulatory or supervisory authority regarding any good faith concerns about possible violations of law or regulation. Additionally, nothing in this Exhibit B or the Agreement shall prevent the Participant from (i) disclosing or discussing discrimination (including harassment occurring between employees or between an employer and an employee) in the workplace, at work-related events coordinated by or through us, or off the employment premises, (ii) opposing, disclosing, reporting, or participating in an investigation of sexual harassment, or (iii) speaking with law enforcement, the Equal Employment Opportunity Commission, the state division of human rights, a local commission on human rights or an attorney retained by the Participant. </w:t>
      </w:r>
    </w:p>
    <w:p>
      <w:pPr>
        <w:pStyle w:val="TextBody"/>
        <w:bidi w:val="0"/>
        <w:spacing w:before="0" w:after="0"/>
        <w:jc w:val="both"/>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385445"/>
                <wp:effectExtent l="0" t="0" r="0" b="0"/>
                <wp:wrapNone/>
                <wp:docPr id="96" name="Frame9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color w:val="000000"/>
          <w:sz w:val="24"/>
        </w:rPr>
        <w:t>9.</w:t>
      </w:r>
      <w:r>
        <w:rPr>
          <w:color w:val="000000"/>
          <w:u w:val="single"/>
        </w:rPr>
        <w:t xml:space="preserve"> </w:t>
      </w:r>
      <w:r>
        <w:rPr>
          <w:rFonts w:ascii="Times New Roman;serif" w:hAnsi="Times New Roman;serif"/>
          <w:b/>
          <w:color w:val="000000"/>
          <w:sz w:val="24"/>
          <w:u w:val="single"/>
        </w:rPr>
        <w:t>Governing Law.</w:t>
      </w:r>
      <w:r>
        <w:rPr>
          <w:color w:val="000000"/>
        </w:rPr>
        <w:t xml:space="preserve"> </w:t>
      </w:r>
      <w:r>
        <w:rPr>
          <w:rFonts w:ascii="Times New Roman;serif" w:hAnsi="Times New Roman;serif"/>
          <w:b w:val="false"/>
          <w:color w:val="000000"/>
          <w:sz w:val="24"/>
        </w:rPr>
        <w:t>This Exhibit B shall be governed by, and construed in accordance with, the internal laws of the state in which the Participant primarily provides services to the Company or any of its subsidiaries, and any claim, dispute, or proceeding with respect to such Participant arising out of this Exhibit B shall be brought exclusively in the state and federal courts located in such state.</w:t>
      </w:r>
    </w:p>
    <w:p>
      <w:pPr>
        <w:pStyle w:val="TextBody"/>
        <w:bidi w:val="0"/>
        <w:spacing w:lineRule="auto" w:line="288" w:before="0" w:after="240"/>
        <w:jc w:val="both"/>
        <w:rPr/>
      </w:pPr>
      <w:r>
        <w:rPr>
          <w:rFonts w:ascii="Times New Roman;serif" w:hAnsi="Times New Roman;serif"/>
          <w:b/>
          <w:color w:val="000000"/>
          <w:sz w:val="24"/>
        </w:rPr>
        <w:t>10.</w:t>
      </w:r>
      <w:r>
        <w:rPr>
          <w:rFonts w:ascii="Times New Roman;serif" w:hAnsi="Times New Roman;serif"/>
          <w:b/>
          <w:color w:val="000000"/>
          <w:sz w:val="24"/>
          <w:u w:val="single"/>
        </w:rPr>
        <w:t>State Law Modifications.</w:t>
      </w:r>
      <w:r>
        <w:rPr>
          <w:color w:val="000000"/>
        </w:rPr>
        <w:t xml:space="preserve"> </w:t>
      </w:r>
      <w:r>
        <w:rPr>
          <w:rFonts w:ascii="Times New Roman;serif" w:hAnsi="Times New Roman;serif"/>
          <w:b w:val="false"/>
          <w:color w:val="000000"/>
          <w:sz w:val="24"/>
        </w:rPr>
        <w:t>Notwithstanding the foregoing provisions of this Exhibit B, if the Participant primarily resides and provides services to the Company or its subsidiaries in a state listed on Appendix B-1, or if otherwise required with respect to the Participant by the applicable law of a particular state, the modifications set forth on Appendix B-1 for such state shall apply to the Participant.</w:t>
      </w:r>
    </w:p>
    <w:p>
      <w:pPr>
        <w:pStyle w:val="TextBody"/>
        <w:bidi w:val="0"/>
        <w:spacing w:before="0" w:after="0"/>
        <w:jc w:val="both"/>
        <w:rPr/>
      </w:pPr>
      <w:r>
        <w:rPr/>
      </w:r>
    </w:p>
    <w:p>
      <w:pPr>
        <w:pStyle w:val="TextBody"/>
        <w:bidi w:val="0"/>
        <w:spacing w:before="0" w:after="24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385445"/>
                <wp:effectExtent l="0" t="0" r="0" b="0"/>
                <wp:wrapNone/>
                <wp:docPr id="97" name="Frame9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Appendix B-1</w:t>
      </w:r>
    </w:p>
    <w:p>
      <w:pPr>
        <w:pStyle w:val="TextBody"/>
        <w:bidi w:val="0"/>
        <w:spacing w:before="0" w:after="0"/>
        <w:jc w:val="center"/>
        <w:rPr/>
      </w:pPr>
      <w:r>
        <w:rPr/>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Certain Modifications to Restrictive Covenants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Certain foregoing provisions of Exhibit B are hereby modified in certain states as described below. For the avoidance of doubt, except as expressly set forth below, all other terms of the Agreement (including Exhibit B) shall apply to the Participant.</w:t>
      </w:r>
    </w:p>
    <w:p>
      <w:pPr>
        <w:pStyle w:val="TextBody"/>
        <w:bidi w:val="0"/>
        <w:spacing w:lineRule="auto" w:line="288" w:before="0" w:after="240"/>
        <w:jc w:val="left"/>
        <w:rPr>
          <w:rFonts w:ascii="Times New Roman;serif" w:hAnsi="Times New Roman;serif"/>
          <w:b/>
          <w:color w:val="000000"/>
          <w:sz w:val="24"/>
          <w:u w:val="single"/>
        </w:rPr>
      </w:pPr>
      <w:r>
        <w:rPr>
          <w:rFonts w:ascii="Times New Roman;serif" w:hAnsi="Times New Roman;serif"/>
          <w:b/>
          <w:color w:val="000000"/>
          <w:sz w:val="24"/>
          <w:u w:val="single"/>
        </w:rPr>
        <w:t>Arizona</w:t>
      </w:r>
    </w:p>
    <w:p>
      <w:pPr>
        <w:pStyle w:val="TextBody"/>
        <w:bidi w:val="0"/>
        <w:spacing w:lineRule="auto" w:line="288" w:before="0" w:after="240"/>
        <w:jc w:val="both"/>
        <w:rPr/>
      </w:pPr>
      <w:r>
        <w:rPr>
          <w:rFonts w:ascii="Times New Roman;serif" w:hAnsi="Times New Roman;serif"/>
          <w:b w:val="false"/>
          <w:color w:val="000000"/>
          <w:sz w:val="24"/>
          <w:u w:val="single"/>
        </w:rPr>
        <w:t>Section 1(a)</w:t>
      </w:r>
      <w:r>
        <w:rPr>
          <w:rFonts w:ascii="Times New Roman;serif" w:hAnsi="Times New Roman;serif"/>
          <w:b w:val="false"/>
          <w:color w:val="000000"/>
          <w:sz w:val="24"/>
        </w:rPr>
        <w:t xml:space="preserve">: The non-disclosure covenant in </w:t>
      </w:r>
      <w:r>
        <w:rPr>
          <w:rFonts w:ascii="Times New Roman;serif" w:hAnsi="Times New Roman;serif"/>
          <w:b w:val="false"/>
          <w:color w:val="000000"/>
          <w:sz w:val="24"/>
          <w:u w:val="single"/>
        </w:rPr>
        <w:t>Section 1(a)</w:t>
      </w:r>
      <w:r>
        <w:rPr>
          <w:color w:val="000000"/>
        </w:rPr>
        <w:t xml:space="preserve"> </w:t>
      </w:r>
      <w:r>
        <w:rPr>
          <w:rFonts w:ascii="Times New Roman;serif" w:hAnsi="Times New Roman;serif"/>
          <w:b w:val="false"/>
          <w:color w:val="000000"/>
          <w:sz w:val="24"/>
        </w:rPr>
        <w:t>shall apply during the Participant’s employment or service with the Company or its subsidiaries, for a period of five years thereafter, and to the extent the information qualifies as a trade secret under applicable law, at all times thereafter.</w:t>
      </w:r>
    </w:p>
    <w:p>
      <w:pPr>
        <w:pStyle w:val="TextBody"/>
        <w:bidi w:val="0"/>
        <w:spacing w:lineRule="auto" w:line="288" w:before="0" w:after="240"/>
        <w:jc w:val="both"/>
        <w:rPr>
          <w:rFonts w:ascii="Times New Roman;serif" w:hAnsi="Times New Roman;serif"/>
          <w:b/>
          <w:color w:val="000000"/>
          <w:sz w:val="24"/>
          <w:u w:val="single"/>
        </w:rPr>
      </w:pPr>
      <w:r>
        <w:rPr>
          <w:rFonts w:ascii="Times New Roman;serif" w:hAnsi="Times New Roman;serif"/>
          <w:b/>
          <w:color w:val="000000"/>
          <w:sz w:val="24"/>
          <w:u w:val="single"/>
        </w:rPr>
        <w:t>California</w:t>
      </w:r>
    </w:p>
    <w:p>
      <w:pPr>
        <w:pStyle w:val="TextBody"/>
        <w:bidi w:val="0"/>
        <w:spacing w:lineRule="auto" w:line="288" w:before="0" w:after="240"/>
        <w:jc w:val="both"/>
        <w:rPr/>
      </w:pPr>
      <w:r>
        <w:rPr>
          <w:rFonts w:ascii="Times New Roman;serif" w:hAnsi="Times New Roman;serif"/>
          <w:b w:val="false"/>
          <w:color w:val="000000"/>
          <w:sz w:val="24"/>
          <w:u w:val="single"/>
        </w:rPr>
        <w:t>Section 2 and Section 3</w:t>
      </w:r>
      <w:r>
        <w:rPr>
          <w:rFonts w:ascii="Times New Roman;serif" w:hAnsi="Times New Roman;serif"/>
          <w:b w:val="false"/>
          <w:color w:val="000000"/>
          <w:sz w:val="24"/>
        </w:rPr>
        <w:t xml:space="preserve">: For purposes of </w:t>
      </w:r>
      <w:r>
        <w:rPr>
          <w:rFonts w:ascii="Times New Roman;serif" w:hAnsi="Times New Roman;serif"/>
          <w:b w:val="false"/>
          <w:color w:val="000000"/>
          <w:sz w:val="24"/>
          <w:u w:val="single"/>
        </w:rPr>
        <w:t>Section 2</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3</w:t>
      </w:r>
      <w:r>
        <w:rPr>
          <w:rFonts w:ascii="Times New Roman;serif" w:hAnsi="Times New Roman;serif"/>
          <w:b w:val="false"/>
          <w:color w:val="000000"/>
          <w:sz w:val="24"/>
        </w:rPr>
        <w:t>, the “Restricted Period” shall commence on the Date of Grant and end on the Participant’s termination of employment or service with the Company or its subsidiaries.</w:t>
      </w:r>
    </w:p>
    <w:p>
      <w:pPr>
        <w:pStyle w:val="TextBody"/>
        <w:bidi w:val="0"/>
        <w:spacing w:lineRule="auto" w:line="288" w:before="0" w:after="240"/>
        <w:jc w:val="both"/>
        <w:rPr/>
      </w:pPr>
      <w:r>
        <w:rPr>
          <w:rFonts w:ascii="Times New Roman;serif" w:hAnsi="Times New Roman;serif"/>
          <w:b w:val="false"/>
          <w:color w:val="000000"/>
          <w:sz w:val="24"/>
          <w:u w:val="single"/>
        </w:rPr>
        <w:t>Section 3</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3(b)</w:t>
      </w:r>
      <w:r>
        <w:rPr>
          <w:color w:val="000000"/>
        </w:rPr>
        <w:t xml:space="preserve"> </w:t>
      </w:r>
      <w:r>
        <w:rPr>
          <w:rFonts w:ascii="Times New Roman;serif" w:hAnsi="Times New Roman;serif"/>
          <w:b w:val="false"/>
          <w:color w:val="000000"/>
          <w:sz w:val="24"/>
        </w:rPr>
        <w:t>shall be deemed deleted.</w:t>
      </w:r>
    </w:p>
    <w:p>
      <w:pPr>
        <w:pStyle w:val="TextBody"/>
        <w:bidi w:val="0"/>
        <w:spacing w:lineRule="auto" w:line="288" w:before="0" w:after="240"/>
        <w:jc w:val="both"/>
        <w:rPr/>
      </w:pPr>
      <w:r>
        <w:rPr>
          <w:rFonts w:ascii="Times New Roman;serif" w:hAnsi="Times New Roman;serif"/>
          <w:b w:val="false"/>
          <w:color w:val="000000"/>
          <w:sz w:val="24"/>
          <w:u w:val="single"/>
        </w:rPr>
        <w:t>Section 8</w:t>
      </w:r>
      <w:r>
        <w:rPr>
          <w:rFonts w:ascii="Times New Roman;serif" w:hAnsi="Times New Roman;serif"/>
          <w:b w:val="false"/>
          <w:color w:val="000000"/>
          <w:sz w:val="24"/>
        </w:rPr>
        <w:t xml:space="preserve">: The following shall be added to the end of </w:t>
      </w:r>
      <w:r>
        <w:rPr>
          <w:rFonts w:ascii="Times New Roman;serif" w:hAnsi="Times New Roman;serif"/>
          <w:b w:val="false"/>
          <w:color w:val="000000"/>
          <w:sz w:val="24"/>
          <w:u w:val="single"/>
        </w:rPr>
        <w:t>Section 8</w:t>
      </w:r>
      <w:r>
        <w:rPr>
          <w:rFonts w:ascii="Times New Roman;serif" w:hAnsi="Times New Roman;serif"/>
          <w:b w:val="false"/>
          <w:color w:val="000000"/>
          <w:sz w:val="24"/>
        </w:rPr>
        <w:t>:</w:t>
      </w:r>
    </w:p>
    <w:p>
      <w:pPr>
        <w:pStyle w:val="TextBody"/>
        <w:bidi w:val="0"/>
        <w:spacing w:lineRule="auto" w:line="288" w:before="0" w:after="240"/>
        <w:jc w:val="both"/>
        <w:rPr>
          <w:color w:val="000000"/>
        </w:rPr>
      </w:pPr>
      <w:r>
        <w:rPr>
          <w:color w:val="000000"/>
        </w:rPr>
        <w:t>“</w:t>
      </w:r>
      <w:r>
        <w:rPr>
          <w:rFonts w:ascii="Times New Roman;serif" w:hAnsi="Times New Roman;serif"/>
          <w:b w:val="false"/>
          <w:color w:val="000000"/>
          <w:sz w:val="24"/>
        </w:rPr>
        <w:t>The Participant acknowledges that nothing in this Exhibit B or the Agreement prohibits or restricts the Participant from discussing or disclosing information about unlawful acts in the workplace, such as harassment or discrimination or any other conduct that the Participant has reason to believe is unlawful.”</w:t>
      </w:r>
    </w:p>
    <w:p>
      <w:pPr>
        <w:pStyle w:val="TextBody"/>
        <w:bidi w:val="0"/>
        <w:spacing w:lineRule="auto" w:line="288" w:before="0" w:after="240"/>
        <w:jc w:val="both"/>
        <w:rPr>
          <w:rFonts w:ascii="Times New Roman;serif" w:hAnsi="Times New Roman;serif"/>
          <w:b/>
          <w:color w:val="000000"/>
          <w:sz w:val="24"/>
          <w:u w:val="single"/>
        </w:rPr>
      </w:pPr>
      <w:r>
        <w:rPr>
          <w:rFonts w:ascii="Times New Roman;serif" w:hAnsi="Times New Roman;serif"/>
          <w:b/>
          <w:color w:val="000000"/>
          <w:sz w:val="24"/>
          <w:u w:val="single"/>
        </w:rPr>
        <w:t>Colorado</w:t>
      </w:r>
    </w:p>
    <w:p>
      <w:pPr>
        <w:pStyle w:val="TextBody"/>
        <w:bidi w:val="0"/>
        <w:spacing w:lineRule="auto" w:line="288" w:before="0" w:after="240"/>
        <w:jc w:val="both"/>
        <w:rPr/>
      </w:pPr>
      <w:r>
        <w:rPr>
          <w:rFonts w:ascii="Times New Roman;serif" w:hAnsi="Times New Roman;serif"/>
          <w:b w:val="false"/>
          <w:color w:val="000000"/>
          <w:sz w:val="24"/>
          <w:u w:val="single"/>
        </w:rPr>
        <w:t>Section 1(a)</w:t>
      </w:r>
      <w:r>
        <w:rPr>
          <w:rFonts w:ascii="Times New Roman;serif" w:hAnsi="Times New Roman;serif"/>
          <w:b w:val="false"/>
          <w:color w:val="000000"/>
          <w:sz w:val="24"/>
        </w:rPr>
        <w:t>: “Confidential Information” shall not include information resulting from the Participant’s general training, knowledge, skill, or experience, whether gained on the job or otherwise, information that is readily ascertainable to the public, or information that the Participant otherwise has a right to disclose as legally protected conduct.</w:t>
      </w:r>
    </w:p>
    <w:p>
      <w:pPr>
        <w:pStyle w:val="TextBody"/>
        <w:bidi w:val="0"/>
        <w:spacing w:lineRule="auto" w:line="288" w:before="0" w:after="240"/>
        <w:jc w:val="both"/>
        <w:rPr/>
      </w:pPr>
      <w:r>
        <w:rPr>
          <w:rFonts w:ascii="Times New Roman;serif" w:hAnsi="Times New Roman;serif"/>
          <w:b w:val="false"/>
          <w:color w:val="000000"/>
          <w:sz w:val="24"/>
          <w:u w:val="single"/>
        </w:rPr>
        <w:t>Section 2</w:t>
      </w:r>
      <w:r>
        <w:rPr>
          <w:rFonts w:ascii="Times New Roman;serif" w:hAnsi="Times New Roman;serif"/>
          <w:b w:val="false"/>
          <w:color w:val="000000"/>
          <w:sz w:val="24"/>
        </w:rPr>
        <w:t xml:space="preserve">: For purposes of </w:t>
      </w:r>
      <w:r>
        <w:rPr>
          <w:rFonts w:ascii="Times New Roman;serif" w:hAnsi="Times New Roman;serif"/>
          <w:b w:val="false"/>
          <w:color w:val="000000"/>
          <w:sz w:val="24"/>
          <w:u w:val="single"/>
        </w:rPr>
        <w:t>Section 2</w:t>
      </w:r>
      <w:r>
        <w:rPr>
          <w:rFonts w:ascii="Times New Roman;serif" w:hAnsi="Times New Roman;serif"/>
          <w:b w:val="false"/>
          <w:color w:val="000000"/>
          <w:sz w:val="24"/>
        </w:rPr>
        <w:t>, the post-employment portion of the Restricted Period shall apply only if the Participant earns at or above the threshold amount for highly compensated workers as determined on an annual basis by the Division of Labor Standards of Statistics in the Department of Labor and Employment, as set forth in CO Rev. Stat. 8-2-113.</w:t>
      </w:r>
    </w:p>
    <w:p>
      <w:pPr>
        <w:pStyle w:val="TextBody"/>
        <w:bidi w:val="0"/>
        <w:spacing w:lineRule="auto" w:line="288" w:before="0" w:after="240"/>
        <w:jc w:val="both"/>
        <w:rPr/>
      </w:pPr>
      <w:r>
        <w:rPr>
          <w:rFonts w:ascii="Times New Roman;serif" w:hAnsi="Times New Roman;serif"/>
          <w:b w:val="false"/>
          <w:color w:val="000000"/>
          <w:sz w:val="24"/>
          <w:u w:val="single"/>
        </w:rPr>
        <w:t>Section 3(c)</w:t>
      </w:r>
      <w:r>
        <w:rPr>
          <w:rFonts w:ascii="Times New Roman;serif" w:hAnsi="Times New Roman;serif"/>
          <w:b w:val="false"/>
          <w:color w:val="000000"/>
          <w:sz w:val="24"/>
        </w:rPr>
        <w:t xml:space="preserve">: For purposes of </w:t>
      </w:r>
      <w:r>
        <w:rPr>
          <w:rFonts w:ascii="Times New Roman;serif" w:hAnsi="Times New Roman;serif"/>
          <w:b w:val="false"/>
          <w:color w:val="000000"/>
          <w:sz w:val="24"/>
          <w:u w:val="single"/>
        </w:rPr>
        <w:t>Section 3(c)</w:t>
      </w:r>
      <w:r>
        <w:rPr>
          <w:rFonts w:ascii="Times New Roman;serif" w:hAnsi="Times New Roman;serif"/>
          <w:b w:val="false"/>
          <w:color w:val="000000"/>
          <w:sz w:val="24"/>
        </w:rPr>
        <w:t>, the post-employment portion of the Restricted Period shall apply only if you earn at least 60% of the amount for highly compensated workers as determined on an annual basis by the Division of Labor Standards of Statistics in the Department of Labor and Employment in annual compensation, as set forth in CO Rev. Stat. 8-2-113.</w:t>
      </w:r>
    </w:p>
    <w:p>
      <w:pPr>
        <w:pStyle w:val="TextBody"/>
        <w:bidi w:val="0"/>
        <w:spacing w:before="0" w:after="0"/>
        <w:jc w:val="both"/>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385445"/>
                <wp:effectExtent l="0" t="0" r="0" b="0"/>
                <wp:wrapNone/>
                <wp:docPr id="98" name="Frame9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u w:val="single"/>
        </w:rPr>
        <w:t>Section 5</w:t>
      </w:r>
      <w:r>
        <w:rPr>
          <w:rFonts w:ascii="Times New Roman;serif" w:hAnsi="Times New Roman;serif"/>
          <w:b w:val="false"/>
          <w:color w:val="000000"/>
          <w:sz w:val="24"/>
        </w:rPr>
        <w:t xml:space="preserve">: The following shall be added to the end of </w:t>
      </w:r>
      <w:r>
        <w:rPr>
          <w:rFonts w:ascii="Times New Roman;serif" w:hAnsi="Times New Roman;serif"/>
          <w:b w:val="false"/>
          <w:color w:val="000000"/>
          <w:sz w:val="24"/>
          <w:u w:val="single"/>
        </w:rPr>
        <w:t>Section 5</w:t>
      </w:r>
      <w:r>
        <w:rPr>
          <w:rFonts w:ascii="Times New Roman;serif" w:hAnsi="Times New Roman;serif"/>
          <w:b w:val="false"/>
          <w:color w:val="000000"/>
          <w:sz w:val="24"/>
        </w:rPr>
        <w:t>:</w:t>
      </w:r>
    </w:p>
    <w:p>
      <w:pPr>
        <w:pStyle w:val="TextBody"/>
        <w:bidi w:val="0"/>
        <w:spacing w:lineRule="auto" w:line="288" w:before="0" w:after="240"/>
        <w:jc w:val="both"/>
        <w:rPr>
          <w:color w:val="000000"/>
        </w:rPr>
      </w:pPr>
      <w:r>
        <w:rPr>
          <w:color w:val="000000"/>
        </w:rPr>
        <w:t>“</w:t>
      </w:r>
      <w:r>
        <w:rPr>
          <w:rFonts w:ascii="Times New Roman;serif" w:hAnsi="Times New Roman;serif"/>
          <w:b w:val="false"/>
          <w:color w:val="000000"/>
          <w:sz w:val="24"/>
        </w:rPr>
        <w:t>The Participant further acknowledges and agrees that the restrictions contained in this Exhibit B are intended to protect, and no broader than reasonably necessary for the protection of, the Company’s and its subsidiaries’ trade secrets.”</w:t>
      </w:r>
    </w:p>
    <w:p>
      <w:pPr>
        <w:pStyle w:val="TextBody"/>
        <w:bidi w:val="0"/>
        <w:spacing w:lineRule="auto" w:line="288" w:before="0" w:after="240"/>
        <w:jc w:val="both"/>
        <w:rPr/>
      </w:pPr>
      <w:r>
        <w:rPr>
          <w:rFonts w:ascii="Times New Roman;serif" w:hAnsi="Times New Roman;serif"/>
          <w:b w:val="false"/>
          <w:color w:val="000000"/>
          <w:sz w:val="24"/>
          <w:u w:val="single"/>
        </w:rPr>
        <w:t>Section 8</w:t>
      </w:r>
      <w:r>
        <w:rPr>
          <w:rFonts w:ascii="Times New Roman;serif" w:hAnsi="Times New Roman;serif"/>
          <w:b w:val="false"/>
          <w:color w:val="000000"/>
          <w:sz w:val="24"/>
        </w:rPr>
        <w:t xml:space="preserve">: The following shall be added to the end of </w:t>
      </w:r>
      <w:r>
        <w:rPr>
          <w:rFonts w:ascii="Times New Roman;serif" w:hAnsi="Times New Roman;serif"/>
          <w:b w:val="false"/>
          <w:color w:val="000000"/>
          <w:sz w:val="24"/>
          <w:u w:val="single"/>
        </w:rPr>
        <w:t>Section 8</w:t>
      </w:r>
      <w:r>
        <w:rPr>
          <w:rFonts w:ascii="Times New Roman;serif" w:hAnsi="Times New Roman;serif"/>
          <w:b w:val="false"/>
          <w:color w:val="000000"/>
          <w:sz w:val="24"/>
        </w:rPr>
        <w:t>:</w:t>
      </w:r>
    </w:p>
    <w:p>
      <w:pPr>
        <w:pStyle w:val="TextBody"/>
        <w:bidi w:val="0"/>
        <w:spacing w:lineRule="auto" w:line="288" w:before="0" w:after="240"/>
        <w:jc w:val="both"/>
        <w:rPr>
          <w:color w:val="000000"/>
        </w:rPr>
      </w:pPr>
      <w:r>
        <w:rPr>
          <w:color w:val="000000"/>
        </w:rPr>
        <w:t>“</w:t>
      </w:r>
      <w:r>
        <w:rPr>
          <w:rFonts w:ascii="Times New Roman;serif" w:hAnsi="Times New Roman;serif"/>
          <w:b w:val="false"/>
          <w:color w:val="000000"/>
          <w:sz w:val="24"/>
        </w:rPr>
        <w:t>Additionally, nothing in the Agreement or this Exhibit B shall prevent the Participant from discussing or disclosing (whether orally or in writing) information about any alleged discriminatory or unfair employment practice or unlawful acts in the workplace, such as harassment or discrimination, or any other conduct the Participant has reason to believe is unlawful.”</w:t>
      </w:r>
    </w:p>
    <w:p>
      <w:pPr>
        <w:pStyle w:val="TextBody"/>
        <w:bidi w:val="0"/>
        <w:spacing w:lineRule="auto" w:line="288" w:before="0" w:after="240"/>
        <w:jc w:val="both"/>
        <w:rPr/>
      </w:pPr>
      <w:r>
        <w:rPr>
          <w:rFonts w:ascii="Times New Roman;serif" w:hAnsi="Times New Roman;serif"/>
          <w:b w:val="false"/>
          <w:color w:val="000000"/>
          <w:sz w:val="24"/>
          <w:u w:val="single"/>
        </w:rPr>
        <w:t>Section 11</w:t>
      </w:r>
      <w:r>
        <w:rPr>
          <w:rFonts w:ascii="Times New Roman;serif" w:hAnsi="Times New Roman;serif"/>
          <w:b w:val="false"/>
          <w:color w:val="000000"/>
          <w:sz w:val="24"/>
        </w:rPr>
        <w:t xml:space="preserve">: The following shall be added as a new </w:t>
      </w:r>
      <w:r>
        <w:rPr>
          <w:rFonts w:ascii="Times New Roman;serif" w:hAnsi="Times New Roman;serif"/>
          <w:b w:val="false"/>
          <w:color w:val="000000"/>
          <w:sz w:val="24"/>
          <w:u w:val="single"/>
        </w:rPr>
        <w:t>Section 11</w:t>
      </w:r>
      <w:r>
        <w:rPr>
          <w:color w:val="000000"/>
        </w:rPr>
        <w:t xml:space="preserve"> </w:t>
      </w:r>
      <w:r>
        <w:rPr>
          <w:rFonts w:ascii="Times New Roman;serif" w:hAnsi="Times New Roman;serif"/>
          <w:b w:val="false"/>
          <w:color w:val="000000"/>
          <w:sz w:val="24"/>
        </w:rPr>
        <w:t>titled “</w:t>
      </w:r>
      <w:r>
        <w:rPr>
          <w:rFonts w:ascii="Times New Roman;serif" w:hAnsi="Times New Roman;serif"/>
          <w:b w:val="false"/>
          <w:color w:val="000000"/>
          <w:sz w:val="24"/>
          <w:u w:val="single"/>
        </w:rPr>
        <w:t>Notice</w:t>
      </w:r>
      <w:r>
        <w:rPr>
          <w:color w:val="000000"/>
        </w:rPr>
        <w:t>”</w:t>
      </w:r>
      <w:r>
        <w:rPr>
          <w:rFonts w:ascii="Times New Roman;serif" w:hAnsi="Times New Roman;serif"/>
          <w:b w:val="false"/>
          <w:color w:val="000000"/>
          <w:sz w:val="24"/>
        </w:rPr>
        <w:t>:</w:t>
      </w:r>
    </w:p>
    <w:p>
      <w:pPr>
        <w:pStyle w:val="TextBody"/>
        <w:bidi w:val="0"/>
        <w:spacing w:lineRule="auto" w:line="288" w:before="0" w:after="240"/>
        <w:jc w:val="both"/>
        <w:rPr/>
      </w:pPr>
      <w:r>
        <w:rPr>
          <w:color w:val="000000"/>
        </w:rPr>
        <w:t>“</w:t>
      </w:r>
      <w:r>
        <w:rPr>
          <w:rFonts w:ascii="Times New Roman;serif" w:hAnsi="Times New Roman;serif"/>
          <w:b w:val="false"/>
          <w:color w:val="000000"/>
          <w:sz w:val="24"/>
        </w:rPr>
        <w:t>The Participant acknowledges receipt of a separate notice that the Company has provided to the Participant contemporaneously with the Agreement and this Exhibit B which identifies this Exhibit B by name, states that this Exhibit B contains non-competition and non-solicitation covenants that could restrict the Participant’s options for subsequent employment following the termination of the Participant’s employment or service with the Company or its subsidiaries, and directs Participant to the specific sections of this Exhibit B containing such covenants (the “</w:t>
      </w:r>
      <w:r>
        <w:rPr>
          <w:rFonts w:ascii="Times New Roman;serif" w:hAnsi="Times New Roman;serif"/>
          <w:b w:val="false"/>
          <w:color w:val="000000"/>
          <w:sz w:val="24"/>
          <w:u w:val="single"/>
        </w:rPr>
        <w:t>Notice</w:t>
      </w:r>
      <w:r>
        <w:rPr>
          <w:color w:val="000000"/>
        </w:rPr>
        <w:t>”</w:t>
      </w:r>
      <w:r>
        <w:rPr>
          <w:rFonts w:ascii="Times New Roman;serif" w:hAnsi="Times New Roman;serif"/>
          <w:b w:val="false"/>
          <w:color w:val="000000"/>
          <w:sz w:val="24"/>
        </w:rPr>
        <w:t xml:space="preserve">). The Participant acknowledges receipt of this Exhibit B (inclusive of the restrictions in </w:t>
      </w:r>
      <w:r>
        <w:rPr>
          <w:rFonts w:ascii="Times New Roman;serif" w:hAnsi="Times New Roman;serif"/>
          <w:b w:val="false"/>
          <w:color w:val="000000"/>
          <w:sz w:val="24"/>
          <w:u w:val="single"/>
        </w:rPr>
        <w:t>Section 2</w:t>
      </w:r>
      <w:r>
        <w:rPr>
          <w:rFonts w:ascii="Times New Roman;serif" w:hAnsi="Times New Roman;serif"/>
          <w:b w:val="false"/>
          <w:color w:val="000000"/>
          <w:sz w:val="24"/>
        </w:rPr>
        <w:t xml:space="preserve">) and such separate Notice from the Company at least fourteen (14) days before the earlier of the effective date of the restrictions in </w:t>
      </w:r>
      <w:r>
        <w:rPr>
          <w:rFonts w:ascii="Times New Roman;serif" w:hAnsi="Times New Roman;serif"/>
          <w:b w:val="false"/>
          <w:color w:val="000000"/>
          <w:sz w:val="24"/>
          <w:u w:val="single"/>
        </w:rPr>
        <w:t>Section 2</w:t>
      </w:r>
      <w:r>
        <w:rPr>
          <w:rFonts w:ascii="Times New Roman;serif" w:hAnsi="Times New Roman;serif"/>
          <w:b w:val="false"/>
          <w:color w:val="000000"/>
          <w:sz w:val="24"/>
        </w:rPr>
        <w:t xml:space="preserve">, or the effective date of the consideration for the restrictions in </w:t>
      </w:r>
      <w:r>
        <w:rPr>
          <w:rFonts w:ascii="Times New Roman;serif" w:hAnsi="Times New Roman;serif"/>
          <w:b w:val="false"/>
          <w:color w:val="000000"/>
          <w:sz w:val="24"/>
          <w:u w:val="single"/>
        </w:rPr>
        <w:t>Section 2</w:t>
      </w:r>
      <w:r>
        <w:rPr>
          <w:rFonts w:ascii="Times New Roman;serif" w:hAnsi="Times New Roman;serif"/>
          <w:b w:val="false"/>
          <w:color w:val="000000"/>
          <w:sz w:val="24"/>
        </w:rPr>
        <w:t>.  Notwithstanding anything in this Exhibit B to the contrary, this Exhibit B will not become effective until the later of (A) the date that the Agreement (inclusive of this Exhibit B) was executed by both of the parties and the Notice was executed by the Participant, and (B) the fifteenth (15th) day after the date that the Notice and the Agreement (inclusive of this Exhibit B) were delivered to the Participant.”</w:t>
      </w:r>
    </w:p>
    <w:p>
      <w:pPr>
        <w:pStyle w:val="TextBody"/>
        <w:bidi w:val="0"/>
        <w:spacing w:lineRule="auto" w:line="288" w:before="0" w:after="240"/>
        <w:jc w:val="both"/>
        <w:rPr>
          <w:rFonts w:ascii="Times New Roman;serif" w:hAnsi="Times New Roman;serif"/>
          <w:b/>
          <w:color w:val="000000"/>
          <w:sz w:val="24"/>
          <w:u w:val="single"/>
        </w:rPr>
      </w:pPr>
      <w:r>
        <w:rPr>
          <w:rFonts w:ascii="Times New Roman;serif" w:hAnsi="Times New Roman;serif"/>
          <w:b/>
          <w:color w:val="000000"/>
          <w:sz w:val="24"/>
          <w:u w:val="single"/>
        </w:rPr>
        <w:t>District of Columbia</w:t>
      </w:r>
    </w:p>
    <w:p>
      <w:pPr>
        <w:pStyle w:val="TextBody"/>
        <w:bidi w:val="0"/>
        <w:spacing w:lineRule="auto" w:line="288" w:before="0" w:after="240"/>
        <w:jc w:val="both"/>
        <w:rPr/>
      </w:pPr>
      <w:r>
        <w:rPr>
          <w:rFonts w:ascii="Times New Roman;serif" w:hAnsi="Times New Roman;serif"/>
          <w:b w:val="false"/>
          <w:color w:val="000000"/>
          <w:sz w:val="24"/>
          <w:u w:val="single"/>
        </w:rPr>
        <w:t>Section 2</w:t>
      </w:r>
      <w:r>
        <w:rPr>
          <w:rFonts w:ascii="Times New Roman;serif" w:hAnsi="Times New Roman;serif"/>
          <w:b w:val="false"/>
          <w:color w:val="000000"/>
          <w:sz w:val="24"/>
        </w:rPr>
        <w:t xml:space="preserve">: For purposes of </w:t>
      </w:r>
      <w:r>
        <w:rPr>
          <w:rFonts w:ascii="Times New Roman;serif" w:hAnsi="Times New Roman;serif"/>
          <w:b w:val="false"/>
          <w:color w:val="000000"/>
          <w:sz w:val="24"/>
          <w:u w:val="single"/>
        </w:rPr>
        <w:t>Section 2</w:t>
      </w:r>
      <w:r>
        <w:rPr>
          <w:rFonts w:ascii="Times New Roman;serif" w:hAnsi="Times New Roman;serif"/>
          <w:b w:val="false"/>
          <w:color w:val="000000"/>
          <w:sz w:val="24"/>
        </w:rPr>
        <w:t>, the post-employment portion of the Restricted Period shall apply only if the Participant earn or are reasonably expected to earn at or above the minimum qualifying annual compensation per year (which amount shall increase each year in proportion to the annual average increase, if any, in the Consumer Price Index for All Urban Consumers in the Washington Metropolitan Statistical Area published by the Bureau of Labor Statistics of the United States Department of Labor for the previous calendar year adjusted to the nearest whole dollar) as set forth in DC Code § 32-581.01(6).</w:t>
      </w:r>
    </w:p>
    <w:p>
      <w:pPr>
        <w:pStyle w:val="TextBody"/>
        <w:bidi w:val="0"/>
        <w:spacing w:lineRule="auto" w:line="288" w:before="0" w:after="240"/>
        <w:jc w:val="both"/>
        <w:rPr/>
      </w:pPr>
      <w:r>
        <w:rPr>
          <w:rFonts w:ascii="Times New Roman;serif" w:hAnsi="Times New Roman;serif"/>
          <w:b w:val="false"/>
          <w:color w:val="000000"/>
          <w:sz w:val="24"/>
          <w:u w:val="single"/>
        </w:rPr>
        <w:t>Section 11</w:t>
      </w:r>
      <w:r>
        <w:rPr>
          <w:rFonts w:ascii="Times New Roman;serif" w:hAnsi="Times New Roman;serif"/>
          <w:b w:val="false"/>
          <w:color w:val="000000"/>
          <w:sz w:val="24"/>
        </w:rPr>
        <w:t xml:space="preserve">: The following shall be added as a new </w:t>
      </w:r>
      <w:r>
        <w:rPr>
          <w:rFonts w:ascii="Times New Roman;serif" w:hAnsi="Times New Roman;serif"/>
          <w:b w:val="false"/>
          <w:color w:val="000000"/>
          <w:sz w:val="24"/>
          <w:u w:val="single"/>
        </w:rPr>
        <w:t>Section 11</w:t>
      </w:r>
      <w:r>
        <w:rPr>
          <w:color w:val="000000"/>
        </w:rPr>
        <w:t xml:space="preserve"> </w:t>
      </w:r>
      <w:r>
        <w:rPr>
          <w:rFonts w:ascii="Times New Roman;serif" w:hAnsi="Times New Roman;serif"/>
          <w:b w:val="false"/>
          <w:color w:val="000000"/>
          <w:sz w:val="24"/>
        </w:rPr>
        <w:t>titled “</w:t>
      </w:r>
      <w:r>
        <w:rPr>
          <w:rFonts w:ascii="Times New Roman;serif" w:hAnsi="Times New Roman;serif"/>
          <w:b w:val="false"/>
          <w:color w:val="000000"/>
          <w:sz w:val="24"/>
          <w:u w:val="single"/>
        </w:rPr>
        <w:t>Notice</w:t>
      </w:r>
      <w:r>
        <w:rPr>
          <w:color w:val="000000"/>
        </w:rPr>
        <w:t>”</w:t>
      </w:r>
      <w:r>
        <w:rPr>
          <w:rFonts w:ascii="Times New Roman;serif" w:hAnsi="Times New Roman;serif"/>
          <w:b w:val="false"/>
          <w:color w:val="000000"/>
          <w:sz w:val="24"/>
        </w:rPr>
        <w:t>:</w:t>
      </w:r>
    </w:p>
    <w:p>
      <w:pPr>
        <w:pStyle w:val="TextBody"/>
        <w:bidi w:val="0"/>
        <w:spacing w:lineRule="auto" w:line="288" w:before="0" w:after="240"/>
        <w:jc w:val="both"/>
        <w:rPr/>
      </w:pPr>
      <w:r>
        <w:rPr>
          <w:color w:val="000000"/>
        </w:rPr>
        <w:t>“</w:t>
      </w:r>
      <w:r>
        <w:rPr>
          <w:rFonts w:ascii="Times New Roman;serif" w:hAnsi="Times New Roman;serif"/>
          <w:b w:val="false"/>
          <w:color w:val="000000"/>
          <w:sz w:val="24"/>
        </w:rPr>
        <w:t xml:space="preserve">The Participant acknowledges and agrees that the Participant has had at least fourteen (14) calendar days to review the restrictive covenants set forth in this Exhibit B. To the extent the post-employment portion of the restrictions in </w:t>
      </w:r>
      <w:r>
        <w:rPr>
          <w:rFonts w:ascii="Times New Roman;serif" w:hAnsi="Times New Roman;serif"/>
          <w:b w:val="false"/>
          <w:color w:val="000000"/>
          <w:sz w:val="24"/>
          <w:u w:val="single"/>
        </w:rPr>
        <w:t>Section 2</w:t>
      </w:r>
      <w:r>
        <w:rPr>
          <w:color w:val="000000"/>
        </w:rPr>
        <w:t xml:space="preserve"> </w:t>
      </w:r>
      <w:r>
        <w:rPr>
          <w:rFonts w:ascii="Times New Roman;serif" w:hAnsi="Times New Roman;serif"/>
          <w:b w:val="false"/>
          <w:color w:val="000000"/>
          <w:sz w:val="24"/>
        </w:rPr>
        <w:t xml:space="preserve">apply, the Participant acknowledges </w:t>
      </w:r>
    </w:p>
    <w:p>
      <w:pPr>
        <w:pStyle w:val="TextBody"/>
        <w:bidi w:val="0"/>
        <w:spacing w:before="0" w:after="0"/>
        <w:jc w:val="both"/>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385445"/>
                <wp:effectExtent l="0" t="0" r="0" b="0"/>
                <wp:wrapNone/>
                <wp:docPr id="99" name="Frame9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receipt of the following notice: “The District’s Ban on Non-Compete Agreements Amendment Act of 2020 limits the use of non-compete agreements. It allows employers to request non-compete agreements from highly compensated employees, as that term is defined in the Ban on Non-Compete Agreements Amendment Act of 2020, under certain conditions. The Company has determined that you are a highly compensated employee. For more information about the Ban on Non-Compete Agreements Amendments Act of 2020, contact the District of Columbia Department of Employment Services (DOES).”</w:t>
      </w:r>
    </w:p>
    <w:p>
      <w:pPr>
        <w:pStyle w:val="TextBody"/>
        <w:bidi w:val="0"/>
        <w:spacing w:lineRule="auto" w:line="288" w:before="0" w:after="240"/>
        <w:jc w:val="both"/>
        <w:rPr>
          <w:rFonts w:ascii="Times New Roman;serif" w:hAnsi="Times New Roman;serif"/>
          <w:b/>
          <w:color w:val="000000"/>
          <w:sz w:val="24"/>
          <w:u w:val="single"/>
        </w:rPr>
      </w:pPr>
      <w:r>
        <w:rPr>
          <w:rFonts w:ascii="Times New Roman;serif" w:hAnsi="Times New Roman;serif"/>
          <w:b/>
          <w:color w:val="000000"/>
          <w:sz w:val="24"/>
          <w:u w:val="single"/>
        </w:rPr>
        <w:t>Florida</w:t>
      </w:r>
    </w:p>
    <w:p>
      <w:pPr>
        <w:pStyle w:val="TextBody"/>
        <w:bidi w:val="0"/>
        <w:spacing w:lineRule="auto" w:line="288" w:before="0" w:after="240"/>
        <w:jc w:val="both"/>
        <w:rPr/>
      </w:pPr>
      <w:r>
        <w:rPr>
          <w:rFonts w:ascii="Times New Roman;serif" w:hAnsi="Times New Roman;serif"/>
          <w:b w:val="false"/>
          <w:color w:val="000000"/>
          <w:sz w:val="24"/>
          <w:u w:val="single"/>
        </w:rPr>
        <w:t>Section 1(a)</w:t>
      </w:r>
      <w:r>
        <w:rPr>
          <w:rFonts w:ascii="Times New Roman;serif" w:hAnsi="Times New Roman;serif"/>
          <w:b w:val="false"/>
          <w:color w:val="000000"/>
          <w:sz w:val="24"/>
        </w:rPr>
        <w:t xml:space="preserve">: The non-disclosure covenant in </w:t>
      </w:r>
      <w:r>
        <w:rPr>
          <w:rFonts w:ascii="Times New Roman;serif" w:hAnsi="Times New Roman;serif"/>
          <w:b w:val="false"/>
          <w:color w:val="000000"/>
          <w:sz w:val="24"/>
          <w:u w:val="single"/>
        </w:rPr>
        <w:t>Section 1(a)</w:t>
      </w:r>
      <w:r>
        <w:rPr>
          <w:color w:val="000000"/>
        </w:rPr>
        <w:t xml:space="preserve"> </w:t>
      </w:r>
      <w:r>
        <w:rPr>
          <w:rFonts w:ascii="Times New Roman;serif" w:hAnsi="Times New Roman;serif"/>
          <w:b w:val="false"/>
          <w:color w:val="000000"/>
          <w:sz w:val="24"/>
        </w:rPr>
        <w:t>shall apply during the Participant’s employment or service with the Company or its subsidiaries, for a period of five years thereafter, and to the extent the information qualifies as a trade secret under applicable law, at all times thereafter.</w:t>
      </w:r>
    </w:p>
    <w:p>
      <w:pPr>
        <w:pStyle w:val="TextBody"/>
        <w:bidi w:val="0"/>
        <w:spacing w:lineRule="auto" w:line="288" w:before="0" w:after="240"/>
        <w:jc w:val="both"/>
        <w:rPr/>
      </w:pPr>
      <w:r>
        <w:rPr>
          <w:rFonts w:ascii="Times New Roman;serif" w:hAnsi="Times New Roman;serif"/>
          <w:b w:val="false"/>
          <w:color w:val="000000"/>
          <w:sz w:val="24"/>
          <w:u w:val="single"/>
        </w:rPr>
        <w:t>Section 2</w:t>
      </w:r>
      <w:r>
        <w:rPr>
          <w:rFonts w:ascii="Times New Roman;serif" w:hAnsi="Times New Roman;serif"/>
          <w:b w:val="false"/>
          <w:color w:val="000000"/>
          <w:sz w:val="24"/>
        </w:rPr>
        <w:t xml:space="preserve">: Following the Participant’s employment or service with the Company or its subsidiaries, the restrictions set forth in </w:t>
      </w:r>
      <w:r>
        <w:rPr>
          <w:rFonts w:ascii="Times New Roman;serif" w:hAnsi="Times New Roman;serif"/>
          <w:b w:val="false"/>
          <w:color w:val="000000"/>
          <w:sz w:val="24"/>
          <w:u w:val="single"/>
        </w:rPr>
        <w:t>Section 2</w:t>
      </w:r>
      <w:r>
        <w:rPr>
          <w:color w:val="000000"/>
        </w:rPr>
        <w:t xml:space="preserve"> </w:t>
      </w:r>
      <w:r>
        <w:rPr>
          <w:rFonts w:ascii="Times New Roman;serif" w:hAnsi="Times New Roman;serif"/>
          <w:b w:val="false"/>
          <w:color w:val="000000"/>
          <w:sz w:val="24"/>
        </w:rPr>
        <w:t>will only apply to actions taken by the Participant in a Restricted Capacity. For this purpose, “</w:t>
      </w:r>
      <w:r>
        <w:rPr>
          <w:rFonts w:ascii="Times New Roman;serif" w:hAnsi="Times New Roman;serif"/>
          <w:b w:val="false"/>
          <w:color w:val="000000"/>
          <w:sz w:val="24"/>
          <w:u w:val="single"/>
        </w:rPr>
        <w:t>Restricted Capacity</w:t>
      </w:r>
      <w:r>
        <w:rPr>
          <w:color w:val="000000"/>
        </w:rPr>
        <w:t xml:space="preserve">” </w:t>
      </w:r>
      <w:r>
        <w:rPr>
          <w:rFonts w:ascii="Times New Roman;serif" w:hAnsi="Times New Roman;serif"/>
          <w:b w:val="false"/>
          <w:color w:val="000000"/>
          <w:sz w:val="24"/>
        </w:rPr>
        <w:t>means any role in which (1) the Participant would provide services similar to the services provided to the Company or its subsidiaries during the three (3) years preceding the Participant’s termination of employment or service, or (2) it would be reasonably likely that the Participant would use Confidential Information or customer relationships of the Company or its subsidiaries.</w:t>
      </w:r>
    </w:p>
    <w:p>
      <w:pPr>
        <w:pStyle w:val="TextBody"/>
        <w:bidi w:val="0"/>
        <w:spacing w:lineRule="auto" w:line="288" w:before="0" w:after="240"/>
        <w:jc w:val="both"/>
        <w:rPr/>
      </w:pPr>
      <w:r>
        <w:rPr>
          <w:rFonts w:ascii="Times New Roman;serif" w:hAnsi="Times New Roman;serif"/>
          <w:b w:val="false"/>
          <w:color w:val="000000"/>
          <w:sz w:val="24"/>
          <w:u w:val="single"/>
        </w:rPr>
        <w:t>Section 11</w:t>
      </w:r>
      <w:r>
        <w:rPr>
          <w:rFonts w:ascii="Times New Roman;serif" w:hAnsi="Times New Roman;serif"/>
          <w:b w:val="false"/>
          <w:color w:val="000000"/>
          <w:sz w:val="24"/>
        </w:rPr>
        <w:t xml:space="preserve">: The following shall be added as a new </w:t>
      </w:r>
      <w:r>
        <w:rPr>
          <w:rFonts w:ascii="Times New Roman;serif" w:hAnsi="Times New Roman;serif"/>
          <w:b w:val="false"/>
          <w:color w:val="000000"/>
          <w:sz w:val="24"/>
          <w:u w:val="single"/>
        </w:rPr>
        <w:t>Section 11</w:t>
      </w:r>
      <w:r>
        <w:rPr>
          <w:color w:val="000000"/>
        </w:rPr>
        <w:t xml:space="preserve"> </w:t>
      </w:r>
      <w:r>
        <w:rPr>
          <w:rFonts w:ascii="Times New Roman;serif" w:hAnsi="Times New Roman;serif"/>
          <w:b w:val="false"/>
          <w:color w:val="000000"/>
          <w:sz w:val="24"/>
        </w:rPr>
        <w:t>titled “</w:t>
      </w:r>
      <w:r>
        <w:rPr>
          <w:rFonts w:ascii="Times New Roman;serif" w:hAnsi="Times New Roman;serif"/>
          <w:b w:val="false"/>
          <w:color w:val="000000"/>
          <w:sz w:val="24"/>
          <w:u w:val="single"/>
        </w:rPr>
        <w:t>Notice</w:t>
      </w:r>
      <w:r>
        <w:rPr>
          <w:color w:val="000000"/>
        </w:rPr>
        <w:t>”</w:t>
      </w:r>
      <w:r>
        <w:rPr>
          <w:rFonts w:ascii="Times New Roman;serif" w:hAnsi="Times New Roman;serif"/>
          <w:b w:val="false"/>
          <w:color w:val="000000"/>
          <w:sz w:val="24"/>
        </w:rPr>
        <w:t>:</w:t>
      </w:r>
    </w:p>
    <w:p>
      <w:pPr>
        <w:pStyle w:val="TextBody"/>
        <w:bidi w:val="0"/>
        <w:spacing w:lineRule="auto" w:line="288" w:before="0" w:after="240"/>
        <w:jc w:val="both"/>
        <w:rPr/>
      </w:pPr>
      <w:r>
        <w:rPr>
          <w:rFonts w:ascii="Times New Roman;serif" w:hAnsi="Times New Roman;serif"/>
          <w:b w:val="false"/>
          <w:color w:val="000000"/>
          <w:sz w:val="24"/>
        </w:rPr>
        <w:t xml:space="preserve">The Participant acknowledges that, in the course of Participant’s employment or service with the Company or its subsidiaries, the Participant will receive Confidential Information and/or access to customer relationships of the Company and its subsidiaries. The Participant understands that to the extent the Participant is providing services in violation of </w:t>
      </w:r>
      <w:r>
        <w:rPr>
          <w:rFonts w:ascii="Times New Roman;serif" w:hAnsi="Times New Roman;serif"/>
          <w:b w:val="false"/>
          <w:color w:val="000000"/>
          <w:sz w:val="24"/>
          <w:u w:val="single"/>
        </w:rPr>
        <w:t>Section 2</w:t>
      </w:r>
      <w:r>
        <w:rPr>
          <w:rFonts w:ascii="Times New Roman;serif" w:hAnsi="Times New Roman;serif"/>
          <w:b w:val="false"/>
          <w:color w:val="000000"/>
          <w:sz w:val="24"/>
        </w:rPr>
        <w:t xml:space="preserve">, it would be reasonably likely that the Participant would use Confidential Information and customer relationships to the detriment of the Company and its subsidiaries. The Participant acknowledges that the Participant’s annual compensation is at least twice the annual mean wage of the Florida county where the Participant resides. Additionally, the Participant acknowledges and agrees that the Participant has had at least seven (7) calendar days to review this Exhibit B, including the restrictive covenants set forth in </w:t>
      </w:r>
      <w:r>
        <w:rPr>
          <w:rFonts w:ascii="Times New Roman;serif" w:hAnsi="Times New Roman;serif"/>
          <w:b w:val="false"/>
          <w:color w:val="000000"/>
          <w:sz w:val="24"/>
          <w:u w:val="single"/>
        </w:rPr>
        <w:t>Section 2</w:t>
      </w:r>
      <w:r>
        <w:rPr>
          <w:rFonts w:ascii="Times New Roman;serif" w:hAnsi="Times New Roman;serif"/>
          <w:b w:val="false"/>
          <w:color w:val="000000"/>
          <w:sz w:val="24"/>
        </w:rPr>
        <w:t>. The Participant is hereby advised of the Participant’s right to consult with counsel prior to entering into the Agreement and this Exhibit B.</w:t>
      </w:r>
    </w:p>
    <w:p>
      <w:pPr>
        <w:pStyle w:val="TextBody"/>
        <w:bidi w:val="0"/>
        <w:spacing w:lineRule="auto" w:line="288" w:before="0" w:after="240"/>
        <w:jc w:val="both"/>
        <w:rPr>
          <w:rFonts w:ascii="Times New Roman;serif" w:hAnsi="Times New Roman;serif"/>
          <w:b/>
          <w:color w:val="000000"/>
          <w:sz w:val="24"/>
          <w:u w:val="single"/>
        </w:rPr>
      </w:pPr>
      <w:r>
        <w:rPr>
          <w:rFonts w:ascii="Times New Roman;serif" w:hAnsi="Times New Roman;serif"/>
          <w:b/>
          <w:color w:val="000000"/>
          <w:sz w:val="24"/>
          <w:u w:val="single"/>
        </w:rPr>
        <w:t>Georgia</w:t>
      </w:r>
    </w:p>
    <w:p>
      <w:pPr>
        <w:pStyle w:val="TextBody"/>
        <w:bidi w:val="0"/>
        <w:spacing w:lineRule="auto" w:line="288" w:before="0" w:after="240"/>
        <w:jc w:val="both"/>
        <w:rPr/>
      </w:pPr>
      <w:r>
        <w:rPr>
          <w:rFonts w:ascii="Times New Roman;serif" w:hAnsi="Times New Roman;serif"/>
          <w:b w:val="false"/>
          <w:color w:val="000000"/>
          <w:sz w:val="24"/>
          <w:u w:val="single"/>
        </w:rPr>
        <w:t>Section 1(a)</w:t>
      </w:r>
      <w:r>
        <w:rPr>
          <w:rFonts w:ascii="Times New Roman;serif" w:hAnsi="Times New Roman;serif"/>
          <w:b w:val="false"/>
          <w:color w:val="000000"/>
          <w:sz w:val="24"/>
        </w:rPr>
        <w:t xml:space="preserve">: The non-disclosure covenant in </w:t>
      </w:r>
      <w:r>
        <w:rPr>
          <w:rFonts w:ascii="Times New Roman;serif" w:hAnsi="Times New Roman;serif"/>
          <w:b w:val="false"/>
          <w:color w:val="000000"/>
          <w:sz w:val="24"/>
          <w:u w:val="single"/>
        </w:rPr>
        <w:t>Section 1(a)</w:t>
      </w:r>
      <w:r>
        <w:rPr>
          <w:color w:val="000000"/>
        </w:rPr>
        <w:t xml:space="preserve"> </w:t>
      </w:r>
      <w:r>
        <w:rPr>
          <w:rFonts w:ascii="Times New Roman;serif" w:hAnsi="Times New Roman;serif"/>
          <w:b w:val="false"/>
          <w:color w:val="000000"/>
          <w:sz w:val="24"/>
        </w:rPr>
        <w:t>shall apply during the Participant’s employment or service with the Company or its subsidiaries, for a period of five years thereafter, and to the extent the information qualifies as a trade secret under applicable law, at all times thereafter.</w:t>
      </w:r>
    </w:p>
    <w:p>
      <w:pPr>
        <w:pStyle w:val="TextBody"/>
        <w:bidi w:val="0"/>
        <w:spacing w:lineRule="auto" w:line="288" w:before="0" w:after="240"/>
        <w:jc w:val="both"/>
        <w:rPr/>
      </w:pPr>
      <w:r>
        <w:rPr>
          <w:rFonts w:ascii="Times New Roman;serif" w:hAnsi="Times New Roman;serif"/>
          <w:b w:val="false"/>
          <w:color w:val="000000"/>
          <w:sz w:val="24"/>
          <w:u w:val="single"/>
        </w:rPr>
        <w:t>Section 3(c)</w:t>
      </w:r>
      <w:r>
        <w:rPr>
          <w:rFonts w:ascii="Times New Roman;serif" w:hAnsi="Times New Roman;serif"/>
          <w:b w:val="false"/>
          <w:color w:val="000000"/>
          <w:sz w:val="24"/>
        </w:rPr>
        <w:t xml:space="preserve">: For purposes of </w:t>
      </w:r>
      <w:r>
        <w:rPr>
          <w:rFonts w:ascii="Times New Roman;serif" w:hAnsi="Times New Roman;serif"/>
          <w:b w:val="false"/>
          <w:color w:val="000000"/>
          <w:sz w:val="24"/>
          <w:u w:val="single"/>
        </w:rPr>
        <w:t>Section 3(c)</w:t>
      </w:r>
      <w:r>
        <w:rPr>
          <w:rFonts w:ascii="Times New Roman;serif" w:hAnsi="Times New Roman;serif"/>
          <w:b w:val="false"/>
          <w:color w:val="000000"/>
          <w:sz w:val="24"/>
        </w:rPr>
        <w:t xml:space="preserve">, the post-employment portion of the Restricted Period shall only apply to customers, clients, or other business relations of the Company or any of its </w:t>
      </w:r>
    </w:p>
    <w:p>
      <w:pPr>
        <w:pStyle w:val="TextBody"/>
        <w:bidi w:val="0"/>
        <w:spacing w:before="0" w:after="0"/>
        <w:jc w:val="both"/>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385445"/>
                <wp:effectExtent l="0" t="0" r="0" b="0"/>
                <wp:wrapNone/>
                <wp:docPr id="100" name="Frame10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subsidiaries with whom the Participant had material contact and solely with respect to products and services that are competitive with those provided by the Company and its subsidiaries. </w:t>
      </w:r>
    </w:p>
    <w:p>
      <w:pPr>
        <w:pStyle w:val="TextBody"/>
        <w:bidi w:val="0"/>
        <w:spacing w:lineRule="auto" w:line="288" w:before="0" w:after="240"/>
        <w:jc w:val="both"/>
        <w:rPr>
          <w:rFonts w:ascii="Times New Roman;serif" w:hAnsi="Times New Roman;serif"/>
          <w:b/>
          <w:color w:val="000000"/>
          <w:sz w:val="24"/>
          <w:u w:val="single"/>
        </w:rPr>
      </w:pPr>
      <w:r>
        <w:rPr>
          <w:rFonts w:ascii="Times New Roman;serif" w:hAnsi="Times New Roman;serif"/>
          <w:b/>
          <w:color w:val="000000"/>
          <w:sz w:val="24"/>
          <w:u w:val="single"/>
        </w:rPr>
        <w:t>Illinois</w:t>
      </w:r>
    </w:p>
    <w:p>
      <w:pPr>
        <w:pStyle w:val="TextBody"/>
        <w:bidi w:val="0"/>
        <w:spacing w:lineRule="auto" w:line="288" w:before="0" w:after="240"/>
        <w:jc w:val="both"/>
        <w:rPr/>
      </w:pPr>
      <w:r>
        <w:rPr>
          <w:rFonts w:ascii="Times New Roman;serif" w:hAnsi="Times New Roman;serif"/>
          <w:b w:val="false"/>
          <w:color w:val="000000"/>
          <w:sz w:val="24"/>
          <w:u w:val="single"/>
        </w:rPr>
        <w:t>Section 1(a)</w:t>
      </w:r>
      <w:r>
        <w:rPr>
          <w:rFonts w:ascii="Times New Roman;serif" w:hAnsi="Times New Roman;serif"/>
          <w:b w:val="false"/>
          <w:color w:val="000000"/>
          <w:sz w:val="24"/>
        </w:rPr>
        <w:t xml:space="preserve">: The non-disclosure covenant in </w:t>
      </w:r>
      <w:r>
        <w:rPr>
          <w:rFonts w:ascii="Times New Roman;serif" w:hAnsi="Times New Roman;serif"/>
          <w:b w:val="false"/>
          <w:color w:val="000000"/>
          <w:sz w:val="24"/>
          <w:u w:val="single"/>
        </w:rPr>
        <w:t>Section 1(a)</w:t>
      </w:r>
      <w:r>
        <w:rPr>
          <w:color w:val="000000"/>
        </w:rPr>
        <w:t xml:space="preserve"> </w:t>
      </w:r>
      <w:r>
        <w:rPr>
          <w:rFonts w:ascii="Times New Roman;serif" w:hAnsi="Times New Roman;serif"/>
          <w:b w:val="false"/>
          <w:color w:val="000000"/>
          <w:sz w:val="24"/>
        </w:rPr>
        <w:t>shall apply during the Participant’s employment or service with the Company or its subsidiaries, for a period of five years thereafter, and to the extent the information qualifies as a trade secret under applicable law, at all times thereafter.</w:t>
      </w:r>
    </w:p>
    <w:p>
      <w:pPr>
        <w:pStyle w:val="TextBody"/>
        <w:bidi w:val="0"/>
        <w:spacing w:lineRule="auto" w:line="288" w:before="0" w:after="240"/>
        <w:jc w:val="both"/>
        <w:rPr/>
      </w:pPr>
      <w:r>
        <w:rPr>
          <w:rFonts w:ascii="Times New Roman;serif" w:hAnsi="Times New Roman;serif"/>
          <w:b w:val="false"/>
          <w:color w:val="000000"/>
          <w:sz w:val="24"/>
          <w:u w:val="single"/>
        </w:rPr>
        <w:t>Section 2 and Section 3</w:t>
      </w:r>
      <w:r>
        <w:rPr>
          <w:rFonts w:ascii="Times New Roman;serif" w:hAnsi="Times New Roman;serif"/>
          <w:b w:val="false"/>
          <w:color w:val="000000"/>
          <w:sz w:val="24"/>
        </w:rPr>
        <w:t>: The post-employment portion of the Restricted Period shall apply only if the Participant has actual or expected annual earnings exceeding the thresholds for non-competition covenants and non-solicitation covenants (respectively) as set forth in 820 ILCS 90/10.</w:t>
      </w:r>
    </w:p>
    <w:p>
      <w:pPr>
        <w:pStyle w:val="TextBody"/>
        <w:bidi w:val="0"/>
        <w:spacing w:lineRule="auto" w:line="288" w:before="0" w:after="240"/>
        <w:jc w:val="both"/>
        <w:rPr/>
      </w:pPr>
      <w:r>
        <w:rPr>
          <w:rFonts w:ascii="Times New Roman;serif" w:hAnsi="Times New Roman;serif"/>
          <w:b w:val="false"/>
          <w:color w:val="000000"/>
          <w:sz w:val="24"/>
          <w:u w:val="single"/>
        </w:rPr>
        <w:t>Section 8</w:t>
      </w:r>
      <w:r>
        <w:rPr>
          <w:rFonts w:ascii="Times New Roman;serif" w:hAnsi="Times New Roman;serif"/>
          <w:b w:val="false"/>
          <w:color w:val="000000"/>
          <w:sz w:val="24"/>
        </w:rPr>
        <w:t xml:space="preserve">: The following shall be added to the end of </w:t>
      </w:r>
      <w:r>
        <w:rPr>
          <w:rFonts w:ascii="Times New Roman;serif" w:hAnsi="Times New Roman;serif"/>
          <w:b w:val="false"/>
          <w:color w:val="000000"/>
          <w:sz w:val="24"/>
          <w:u w:val="single"/>
        </w:rPr>
        <w:t>Section 8</w:t>
      </w:r>
      <w:r>
        <w:rPr>
          <w:rFonts w:ascii="Times New Roman;serif" w:hAnsi="Times New Roman;serif"/>
          <w:b w:val="false"/>
          <w:color w:val="000000"/>
          <w:sz w:val="24"/>
        </w:rPr>
        <w:t>:</w:t>
      </w:r>
    </w:p>
    <w:p>
      <w:pPr>
        <w:pStyle w:val="TextBody"/>
        <w:bidi w:val="0"/>
        <w:spacing w:lineRule="auto" w:line="288" w:before="0" w:after="240"/>
        <w:jc w:val="both"/>
        <w:rPr>
          <w:color w:val="000000"/>
        </w:rPr>
      </w:pPr>
      <w:r>
        <w:rPr>
          <w:color w:val="000000"/>
        </w:rPr>
        <w:t>“</w:t>
      </w:r>
      <w:r>
        <w:rPr>
          <w:rFonts w:ascii="Times New Roman;serif" w:hAnsi="Times New Roman;serif"/>
          <w:b w:val="false"/>
          <w:color w:val="000000"/>
          <w:sz w:val="24"/>
        </w:rPr>
        <w:t>Further, nothing herein prohibits, prevents or otherwise restricts the Participant from (A) reporting any good faith allegation of unlawful employment practices to any federal, state or local government agency enforcing discrimination laws; (B) reporting any good faith allegation of criminal conduct to any appropriate federal, state or local official; (C) participating in a proceeding related to unlawful employment practices, including any litigation brought by any federal, state or local government agency or any other person who alleges that the Company Group has violated any state federal, or local law, regulation or rule; (D) making any truthful  statement of disclosures required by law, regulation or legal process; (E) requesting or receiving confidential legal advice;  (F) engaging in concerted activity to address work-related issues; or (G) making truthful statements or disclosures about alleged “unlawful employment practices” as defined in the Illinois Workplace Transparency Act (820 ILCS 96).”</w:t>
      </w:r>
    </w:p>
    <w:p>
      <w:pPr>
        <w:pStyle w:val="TextBody"/>
        <w:bidi w:val="0"/>
        <w:spacing w:lineRule="auto" w:line="288" w:before="0" w:after="240"/>
        <w:jc w:val="both"/>
        <w:rPr/>
      </w:pPr>
      <w:r>
        <w:rPr>
          <w:rFonts w:ascii="Times New Roman;serif" w:hAnsi="Times New Roman;serif"/>
          <w:b w:val="false"/>
          <w:color w:val="000000"/>
          <w:sz w:val="24"/>
          <w:u w:val="single"/>
        </w:rPr>
        <w:t>Section 11</w:t>
      </w:r>
      <w:r>
        <w:rPr>
          <w:rFonts w:ascii="Times New Roman;serif" w:hAnsi="Times New Roman;serif"/>
          <w:b w:val="false"/>
          <w:color w:val="000000"/>
          <w:sz w:val="24"/>
        </w:rPr>
        <w:t xml:space="preserve">: The following shall be added as a new </w:t>
      </w:r>
      <w:r>
        <w:rPr>
          <w:rFonts w:ascii="Times New Roman;serif" w:hAnsi="Times New Roman;serif"/>
          <w:b w:val="false"/>
          <w:color w:val="000000"/>
          <w:sz w:val="24"/>
          <w:u w:val="single"/>
        </w:rPr>
        <w:t>Section 11</w:t>
      </w:r>
      <w:r>
        <w:rPr>
          <w:color w:val="000000"/>
        </w:rPr>
        <w:t xml:space="preserve"> </w:t>
      </w:r>
      <w:r>
        <w:rPr>
          <w:rFonts w:ascii="Times New Roman;serif" w:hAnsi="Times New Roman;serif"/>
          <w:b w:val="false"/>
          <w:color w:val="000000"/>
          <w:sz w:val="24"/>
        </w:rPr>
        <w:t>titled “</w:t>
      </w:r>
      <w:r>
        <w:rPr>
          <w:rFonts w:ascii="Times New Roman;serif" w:hAnsi="Times New Roman;serif"/>
          <w:b w:val="false"/>
          <w:color w:val="000000"/>
          <w:sz w:val="24"/>
          <w:u w:val="single"/>
        </w:rPr>
        <w:t>Notice</w:t>
      </w:r>
      <w:r>
        <w:rPr>
          <w:color w:val="000000"/>
        </w:rPr>
        <w:t>”</w:t>
      </w:r>
      <w:r>
        <w:rPr>
          <w:rFonts w:ascii="Times New Roman;serif" w:hAnsi="Times New Roman;serif"/>
          <w:b w:val="false"/>
          <w:color w:val="000000"/>
          <w:sz w:val="24"/>
        </w:rPr>
        <w:t>:</w:t>
      </w:r>
    </w:p>
    <w:p>
      <w:pPr>
        <w:pStyle w:val="TextBody"/>
        <w:bidi w:val="0"/>
        <w:spacing w:lineRule="auto" w:line="288" w:before="0" w:after="240"/>
        <w:jc w:val="both"/>
        <w:rPr>
          <w:color w:val="000000"/>
        </w:rPr>
      </w:pPr>
      <w:r>
        <w:rPr>
          <w:color w:val="000000"/>
        </w:rPr>
        <w:t>“</w:t>
      </w:r>
      <w:r>
        <w:rPr>
          <w:rFonts w:ascii="Times New Roman;serif" w:hAnsi="Times New Roman;serif"/>
          <w:b w:val="false"/>
          <w:color w:val="000000"/>
          <w:sz w:val="24"/>
        </w:rPr>
        <w:t>The Participant acknowledges and agrees that (i) the Participant has had at least fourteen (14) calendar days to review this Exhibit B, including the restrictive covenants set forth herein, (ii) the Participant has been advised of the Participant’s right to consult with counsel prior to agreeing to be bound by this Exhibit B, including the restrictive covenants set forth herein, and (iii) the restrictions contained in this Exhibit B are supported by valid, sufficient, and mutually-agreed-upon consideration, including the grant of RSUs under the Agreement.”</w:t>
      </w:r>
    </w:p>
    <w:p>
      <w:pPr>
        <w:pStyle w:val="TextBody"/>
        <w:bidi w:val="0"/>
        <w:spacing w:lineRule="auto" w:line="288" w:before="0" w:after="240"/>
        <w:jc w:val="both"/>
        <w:rPr>
          <w:rFonts w:ascii="Times New Roman;serif" w:hAnsi="Times New Roman;serif"/>
          <w:b/>
          <w:color w:val="000000"/>
          <w:sz w:val="24"/>
          <w:u w:val="single"/>
        </w:rPr>
      </w:pPr>
      <w:r>
        <w:rPr>
          <w:rFonts w:ascii="Times New Roman;serif" w:hAnsi="Times New Roman;serif"/>
          <w:b/>
          <w:color w:val="000000"/>
          <w:sz w:val="24"/>
          <w:u w:val="single"/>
        </w:rPr>
        <w:t>Massachusetts</w:t>
      </w:r>
    </w:p>
    <w:p>
      <w:pPr>
        <w:pStyle w:val="TextBody"/>
        <w:bidi w:val="0"/>
        <w:spacing w:lineRule="auto" w:line="288" w:before="0" w:after="240"/>
        <w:jc w:val="both"/>
        <w:rPr/>
      </w:pPr>
      <w:r>
        <w:rPr>
          <w:rFonts w:ascii="Times New Roman;serif" w:hAnsi="Times New Roman;serif"/>
          <w:b w:val="false"/>
          <w:color w:val="000000"/>
          <w:sz w:val="24"/>
          <w:u w:val="single"/>
        </w:rPr>
        <w:t>Section 2</w:t>
      </w:r>
      <w:r>
        <w:rPr>
          <w:rFonts w:ascii="Times New Roman;serif" w:hAnsi="Times New Roman;serif"/>
          <w:b w:val="false"/>
          <w:color w:val="000000"/>
          <w:sz w:val="24"/>
        </w:rPr>
        <w:t xml:space="preserve">: The following shall replace </w:t>
      </w:r>
      <w:r>
        <w:rPr>
          <w:rFonts w:ascii="Times New Roman;serif" w:hAnsi="Times New Roman;serif"/>
          <w:b w:val="false"/>
          <w:color w:val="000000"/>
          <w:sz w:val="24"/>
          <w:u w:val="single"/>
        </w:rPr>
        <w:t>Section 2</w:t>
      </w:r>
      <w:r>
        <w:rPr>
          <w:color w:val="000000"/>
        </w:rPr>
        <w:t xml:space="preserve"> </w:t>
      </w:r>
      <w:r>
        <w:rPr>
          <w:rFonts w:ascii="Times New Roman;serif" w:hAnsi="Times New Roman;serif"/>
          <w:b w:val="false"/>
          <w:color w:val="000000"/>
          <w:sz w:val="24"/>
        </w:rPr>
        <w:t>in its entirety:</w:t>
      </w:r>
    </w:p>
    <w:p>
      <w:pPr>
        <w:pStyle w:val="TextBody"/>
        <w:bidi w:val="0"/>
        <w:spacing w:lineRule="auto" w:line="288" w:before="0" w:after="240"/>
        <w:jc w:val="both"/>
        <w:rPr/>
      </w:pPr>
      <w:r>
        <w:rPr>
          <w:color w:val="000000"/>
        </w:rPr>
        <w:t>“</w:t>
      </w:r>
      <w:r>
        <w:rPr>
          <w:rFonts w:ascii="Times New Roman;serif" w:hAnsi="Times New Roman;serif"/>
          <w:b w:val="false"/>
          <w:color w:val="000000"/>
          <w:sz w:val="24"/>
        </w:rPr>
        <w:t>During the period commencing on the Date of Grant and ending on the first anniversary of the Participant’s termination of employment or service with the Company or its subsidiaries (the “</w:t>
      </w:r>
      <w:r>
        <w:rPr>
          <w:rFonts w:ascii="Times New Roman;serif" w:hAnsi="Times New Roman;serif"/>
          <w:b w:val="false"/>
          <w:color w:val="000000"/>
          <w:sz w:val="24"/>
          <w:u w:val="single"/>
        </w:rPr>
        <w:t>Restricted Period</w:t>
      </w:r>
      <w:r>
        <w:rPr>
          <w:color w:val="000000"/>
        </w:rPr>
        <w:t>”</w:t>
      </w:r>
      <w:r>
        <w:rPr>
          <w:rFonts w:ascii="Times New Roman;serif" w:hAnsi="Times New Roman;serif"/>
          <w:b w:val="false"/>
          <w:color w:val="000000"/>
          <w:sz w:val="24"/>
        </w:rPr>
        <w:t xml:space="preserve">), the Participant shall not, directly or indirectly, individually or on behalf of any Person, company, enterprise, or entity, or as a sole proprietor, partner, equityholder, director, </w:t>
      </w:r>
    </w:p>
    <w:p>
      <w:pPr>
        <w:pStyle w:val="TextBody"/>
        <w:bidi w:val="0"/>
        <w:spacing w:before="0" w:after="0"/>
        <w:jc w:val="both"/>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385445"/>
                <wp:effectExtent l="0" t="0" r="0" b="0"/>
                <wp:wrapNone/>
                <wp:docPr id="101" name="Frame10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officer, principal, agent, employee or executive, in each case, in any capacity in which the Participant would provide the same types of services that the Participant provided to the Company or its subsidiaries during the then most recent two (2) years of the Participant’s employment or service, (i) own any interest in, participate in (whether as a director, officer, employee, member or partner), consult with, render services for (including as an employee), or in any manner engage in, or on behalf of, any business or enterprise, in each case, that is competitive with that is competitive with (A) the business conducted in the Mechanical (including heating, ventilation and air conditioning), Electrical and Plumbing industry and (B) any other business (1) engaged in by the Company or any of its subsidiaries or (2) in which the Company or any of its subsidiaries has taken any actual, concrete steps or is planning to take such actual, concrete steps to conduct business, including by submitting a letter of intention or similar indication of interest, entering into a confidentiality agreement or inclusion in a “deal pipeline” sheet which is presented to the Board, in each case, with respect to the potential acquisition or similar transaction of a business conducting such business activities, in each case, as of the date hereof and through the date of Participant’s last date of employment with the Company or any of its subsidiaries (collectively, the “</w:t>
      </w:r>
      <w:r>
        <w:rPr>
          <w:rFonts w:ascii="Times New Roman;serif" w:hAnsi="Times New Roman;serif"/>
          <w:b/>
          <w:color w:val="000000"/>
          <w:sz w:val="24"/>
          <w:u w:val="single"/>
        </w:rPr>
        <w:t>Business</w:t>
      </w:r>
      <w:r>
        <w:rPr>
          <w:color w:val="000000"/>
        </w:rPr>
        <w:t>”</w:t>
      </w:r>
      <w:r>
        <w:rPr>
          <w:rFonts w:ascii="Times New Roman;serif" w:hAnsi="Times New Roman;serif"/>
          <w:b w:val="false"/>
          <w:color w:val="000000"/>
          <w:sz w:val="24"/>
        </w:rPr>
        <w:t xml:space="preserve">), within any state, territory, jurisdiction or other locality within the United States in which the Company or its subsidiaries engages in the Business and in which the Participant provided services or had a material presence or influence during the last twenty-four (24) months of the Participant’s employment or service with the Company or its subsidiaries, or (ii) take any preparatory steps to engage in any of the activities described in clause (i) above; provided, however, that nothing in this </w:t>
      </w:r>
      <w:r>
        <w:rPr>
          <w:rFonts w:ascii="Times New Roman;serif" w:hAnsi="Times New Roman;serif"/>
          <w:b w:val="false"/>
          <w:color w:val="000000"/>
          <w:sz w:val="24"/>
          <w:u w:val="single"/>
        </w:rPr>
        <w:t>Section 2</w:t>
      </w:r>
      <w:r>
        <w:rPr>
          <w:color w:val="000000"/>
        </w:rPr>
        <w:t xml:space="preserve"> </w:t>
      </w:r>
      <w:r>
        <w:rPr>
          <w:rFonts w:ascii="Times New Roman;serif" w:hAnsi="Times New Roman;serif"/>
          <w:b w:val="false"/>
          <w:color w:val="000000"/>
          <w:sz w:val="24"/>
        </w:rPr>
        <w:t xml:space="preserve">shall prevent the Participant or any of its affiliates from being a passive owner of less than two percent (2%) of any Person’s publicly traded securities, so long as neither the Participant nor any of its affiliates has any active participation in the business thereto. Additionally, for purposes of this </w:t>
      </w:r>
      <w:r>
        <w:rPr>
          <w:rFonts w:ascii="Times New Roman;serif" w:hAnsi="Times New Roman;serif"/>
          <w:b w:val="false"/>
          <w:color w:val="000000"/>
          <w:sz w:val="24"/>
          <w:u w:val="single"/>
        </w:rPr>
        <w:t>Section 2</w:t>
      </w:r>
      <w:r>
        <w:rPr>
          <w:rFonts w:ascii="Times New Roman;serif" w:hAnsi="Times New Roman;serif"/>
          <w:b w:val="false"/>
          <w:color w:val="000000"/>
          <w:sz w:val="24"/>
        </w:rPr>
        <w:t>, the post-employment portion of the Restricted Period shall not apply if the Participant is terminated without Cause or because of a layoff. For this purpose, “Cause” means, in addition to Cause as defined in any other agreement between the Participant and the Company or its affiliates, a reasonable and good faith basis for the Company to be dissatisfied with the Participant’s job performance, conduct, or behavior.”</w:t>
      </w:r>
    </w:p>
    <w:p>
      <w:pPr>
        <w:pStyle w:val="TextBody"/>
        <w:bidi w:val="0"/>
        <w:spacing w:lineRule="auto" w:line="288" w:before="0" w:after="240"/>
        <w:jc w:val="both"/>
        <w:rPr/>
      </w:pPr>
      <w:r>
        <w:rPr>
          <w:rFonts w:ascii="Times New Roman;serif" w:hAnsi="Times New Roman;serif"/>
          <w:b w:val="false"/>
          <w:color w:val="000000"/>
          <w:sz w:val="24"/>
          <w:u w:val="single"/>
        </w:rPr>
        <w:t>Section 11</w:t>
      </w:r>
      <w:r>
        <w:rPr>
          <w:rFonts w:ascii="Times New Roman;serif" w:hAnsi="Times New Roman;serif"/>
          <w:b w:val="false"/>
          <w:color w:val="000000"/>
          <w:sz w:val="24"/>
        </w:rPr>
        <w:t xml:space="preserve">: The following shall be added as a new </w:t>
      </w:r>
      <w:r>
        <w:rPr>
          <w:rFonts w:ascii="Times New Roman;serif" w:hAnsi="Times New Roman;serif"/>
          <w:b w:val="false"/>
          <w:color w:val="000000"/>
          <w:sz w:val="24"/>
          <w:u w:val="single"/>
        </w:rPr>
        <w:t>Section 11</w:t>
      </w:r>
      <w:r>
        <w:rPr>
          <w:color w:val="000000"/>
        </w:rPr>
        <w:t xml:space="preserve"> </w:t>
      </w:r>
      <w:r>
        <w:rPr>
          <w:rFonts w:ascii="Times New Roman;serif" w:hAnsi="Times New Roman;serif"/>
          <w:b w:val="false"/>
          <w:color w:val="000000"/>
          <w:sz w:val="24"/>
        </w:rPr>
        <w:t>titled “</w:t>
      </w:r>
      <w:r>
        <w:rPr>
          <w:rFonts w:ascii="Times New Roman;serif" w:hAnsi="Times New Roman;serif"/>
          <w:b w:val="false"/>
          <w:color w:val="000000"/>
          <w:sz w:val="24"/>
          <w:u w:val="single"/>
        </w:rPr>
        <w:t>Notice</w:t>
      </w:r>
      <w:r>
        <w:rPr>
          <w:color w:val="000000"/>
        </w:rPr>
        <w:t>”</w:t>
      </w:r>
      <w:r>
        <w:rPr>
          <w:rFonts w:ascii="Times New Roman;serif" w:hAnsi="Times New Roman;serif"/>
          <w:b w:val="false"/>
          <w:color w:val="000000"/>
          <w:sz w:val="24"/>
        </w:rPr>
        <w:t>:</w:t>
      </w:r>
    </w:p>
    <w:p>
      <w:pPr>
        <w:pStyle w:val="TextBody"/>
        <w:bidi w:val="0"/>
        <w:spacing w:lineRule="auto" w:line="288" w:before="0" w:after="240"/>
        <w:jc w:val="both"/>
        <w:rPr/>
      </w:pPr>
      <w:r>
        <w:rPr>
          <w:color w:val="000000"/>
        </w:rPr>
        <w:t>“</w:t>
      </w:r>
      <w:r>
        <w:rPr>
          <w:rFonts w:ascii="Times New Roman;serif" w:hAnsi="Times New Roman;serif"/>
          <w:b w:val="false"/>
          <w:color w:val="000000"/>
          <w:sz w:val="24"/>
        </w:rPr>
        <w:t xml:space="preserve">The Participant acknowledges and agrees that, (i) the Participant has been advised, and is hereby advised, of the Participant’s right to consult with counsel prior to agreeing to be bound by the Agreement and this Exhibit B, and (ii) the restrictions contained in this Exhibit B (including in </w:t>
      </w:r>
      <w:r>
        <w:rPr>
          <w:rFonts w:ascii="Times New Roman;serif" w:hAnsi="Times New Roman;serif"/>
          <w:b w:val="false"/>
          <w:color w:val="000000"/>
          <w:sz w:val="24"/>
          <w:u w:val="single"/>
        </w:rPr>
        <w:t>Section 2</w:t>
      </w:r>
      <w:r>
        <w:rPr>
          <w:rFonts w:ascii="Times New Roman;serif" w:hAnsi="Times New Roman;serif"/>
          <w:b w:val="false"/>
          <w:color w:val="000000"/>
          <w:sz w:val="24"/>
        </w:rPr>
        <w:t xml:space="preserve">) are supported by valid, sufficient, and mutually-agreed-upon consideration, which is independent of the Participant’s continued employment with the Company Group, including, but not limited to, the grant of the RSUs pursuant to the Participant. The Participant further acknowledges and agrees that (A) if the Participant is entering into this Exhibit B in connection with the commencement of employment, the Participant received the Agreement and this Exhibit B by the earlier of a formal offer of employment and ten (10) business days before commencement of employment, and (B) if the Participant is entering into the Agreement and this Exhibit B after commencement of employment, the Participant has had at least ten (10) business days to review this Exhibit B (inclusive of the noncompetition obligation in </w:t>
      </w:r>
      <w:r>
        <w:rPr>
          <w:rFonts w:ascii="Times New Roman;serif" w:hAnsi="Times New Roman;serif"/>
          <w:b w:val="false"/>
          <w:color w:val="000000"/>
          <w:sz w:val="24"/>
          <w:u w:val="single"/>
        </w:rPr>
        <w:t>Section 2</w:t>
      </w:r>
      <w:r>
        <w:rPr>
          <w:rFonts w:ascii="Times New Roman;serif" w:hAnsi="Times New Roman;serif"/>
          <w:b w:val="false"/>
          <w:color w:val="000000"/>
          <w:sz w:val="24"/>
        </w:rPr>
        <w:t>) before the noncompetition obligations in S</w:t>
      </w:r>
      <w:r>
        <w:rPr>
          <w:rFonts w:ascii="Times New Roman;serif" w:hAnsi="Times New Roman;serif"/>
          <w:b w:val="false"/>
          <w:color w:val="000000"/>
          <w:sz w:val="24"/>
          <w:u w:val="single"/>
        </w:rPr>
        <w:t>ection 2</w:t>
      </w:r>
      <w:r>
        <w:rPr>
          <w:color w:val="000000"/>
        </w:rPr>
        <w:t xml:space="preserve"> </w:t>
      </w:r>
      <w:r>
        <w:rPr>
          <w:rFonts w:ascii="Times New Roman;serif" w:hAnsi="Times New Roman;serif"/>
          <w:b w:val="false"/>
          <w:color w:val="000000"/>
          <w:sz w:val="24"/>
        </w:rPr>
        <w:t xml:space="preserve">become effective.  Notwithstanding anything </w:t>
      </w:r>
    </w:p>
    <w:p>
      <w:pPr>
        <w:pStyle w:val="TextBody"/>
        <w:bidi w:val="0"/>
        <w:spacing w:before="0" w:after="0"/>
        <w:jc w:val="both"/>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385445"/>
                <wp:effectExtent l="0" t="0" r="0" b="0"/>
                <wp:wrapNone/>
                <wp:docPr id="102" name="Frame10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B-10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in this Exhibit B or the Agreement to the contrary, this Exhibit B (inclusive of the noncompetition obligation in </w:t>
      </w:r>
      <w:r>
        <w:rPr>
          <w:rFonts w:ascii="Times New Roman;serif" w:hAnsi="Times New Roman;serif"/>
          <w:b w:val="false"/>
          <w:color w:val="000000"/>
          <w:sz w:val="24"/>
          <w:u w:val="single"/>
        </w:rPr>
        <w:t>Section 2</w:t>
      </w:r>
      <w:r>
        <w:rPr>
          <w:rFonts w:ascii="Times New Roman;serif" w:hAnsi="Times New Roman;serif"/>
          <w:b w:val="false"/>
          <w:color w:val="000000"/>
          <w:sz w:val="24"/>
        </w:rPr>
        <w:t>) will not become effective until the later of (x) the date that the Agreement (inclusive of this Exhibit B) was executed by the Participant, and (y) the date immediately following the tenth (10th) business day after the date that the Agreement (inclusive of this Exhibit B) was delivered to the Participant.</w:t>
      </w:r>
    </w:p>
    <w:p>
      <w:pPr>
        <w:pStyle w:val="TextBody"/>
        <w:bidi w:val="0"/>
        <w:spacing w:lineRule="auto" w:line="288" w:before="0" w:after="240"/>
        <w:jc w:val="both"/>
        <w:rPr>
          <w:rFonts w:ascii="Times New Roman;serif" w:hAnsi="Times New Roman;serif"/>
          <w:b/>
          <w:color w:val="000000"/>
          <w:sz w:val="24"/>
          <w:u w:val="single"/>
        </w:rPr>
      </w:pPr>
      <w:r>
        <w:rPr>
          <w:rFonts w:ascii="Times New Roman;serif" w:hAnsi="Times New Roman;serif"/>
          <w:b/>
          <w:color w:val="000000"/>
          <w:sz w:val="24"/>
          <w:u w:val="single"/>
        </w:rPr>
        <w:t>Minnesota</w:t>
      </w:r>
    </w:p>
    <w:p>
      <w:pPr>
        <w:pStyle w:val="TextBody"/>
        <w:bidi w:val="0"/>
        <w:spacing w:lineRule="auto" w:line="288" w:before="0" w:after="240"/>
        <w:jc w:val="both"/>
        <w:rPr/>
      </w:pPr>
      <w:r>
        <w:rPr>
          <w:rFonts w:ascii="Times New Roman;serif" w:hAnsi="Times New Roman;serif"/>
          <w:b w:val="false"/>
          <w:color w:val="000000"/>
          <w:sz w:val="24"/>
          <w:u w:val="single"/>
        </w:rPr>
        <w:t>Section 2</w:t>
      </w:r>
      <w:r>
        <w:rPr>
          <w:rFonts w:ascii="Times New Roman;serif" w:hAnsi="Times New Roman;serif"/>
          <w:b w:val="false"/>
          <w:color w:val="000000"/>
          <w:sz w:val="24"/>
        </w:rPr>
        <w:t xml:space="preserve">: For purposes of </w:t>
      </w:r>
      <w:r>
        <w:rPr>
          <w:rFonts w:ascii="Times New Roman;serif" w:hAnsi="Times New Roman;serif"/>
          <w:b w:val="false"/>
          <w:color w:val="000000"/>
          <w:sz w:val="24"/>
          <w:u w:val="single"/>
        </w:rPr>
        <w:t>Section 2</w:t>
      </w:r>
      <w:r>
        <w:rPr>
          <w:rFonts w:ascii="Times New Roman;serif" w:hAnsi="Times New Roman;serif"/>
          <w:b w:val="false"/>
          <w:color w:val="000000"/>
          <w:sz w:val="24"/>
        </w:rPr>
        <w:t>, the “Restricted Period” shall commence on the Date of Grant and end on the Participant’s termination of employment or service with the Company or its subsidiaries.</w:t>
      </w:r>
    </w:p>
    <w:p>
      <w:pPr>
        <w:pStyle w:val="TextBody"/>
        <w:bidi w:val="0"/>
        <w:spacing w:lineRule="auto" w:line="288" w:before="0" w:after="240"/>
        <w:jc w:val="both"/>
        <w:rPr>
          <w:rFonts w:ascii="Times New Roman;serif" w:hAnsi="Times New Roman;serif"/>
          <w:b/>
          <w:color w:val="000000"/>
          <w:sz w:val="24"/>
          <w:u w:val="single"/>
        </w:rPr>
      </w:pPr>
      <w:r>
        <w:rPr>
          <w:rFonts w:ascii="Times New Roman;serif" w:hAnsi="Times New Roman;serif"/>
          <w:b/>
          <w:color w:val="000000"/>
          <w:sz w:val="24"/>
          <w:u w:val="single"/>
        </w:rPr>
        <w:t xml:space="preserve">North Dakota </w:t>
      </w:r>
    </w:p>
    <w:p>
      <w:pPr>
        <w:pStyle w:val="TextBody"/>
        <w:bidi w:val="0"/>
        <w:spacing w:lineRule="auto" w:line="288" w:before="0" w:after="240"/>
        <w:jc w:val="both"/>
        <w:rPr/>
      </w:pPr>
      <w:r>
        <w:rPr>
          <w:rFonts w:ascii="Times New Roman;serif" w:hAnsi="Times New Roman;serif"/>
          <w:b w:val="false"/>
          <w:color w:val="000000"/>
          <w:sz w:val="24"/>
          <w:u w:val="single"/>
        </w:rPr>
        <w:t>Section 2</w:t>
      </w:r>
      <w:r>
        <w:rPr>
          <w:rFonts w:ascii="Times New Roman;serif" w:hAnsi="Times New Roman;serif"/>
          <w:b w:val="false"/>
          <w:color w:val="000000"/>
          <w:sz w:val="24"/>
        </w:rPr>
        <w:t xml:space="preserve">: For purposes of </w:t>
      </w:r>
      <w:r>
        <w:rPr>
          <w:rFonts w:ascii="Times New Roman;serif" w:hAnsi="Times New Roman;serif"/>
          <w:b w:val="false"/>
          <w:color w:val="000000"/>
          <w:sz w:val="24"/>
          <w:u w:val="single"/>
        </w:rPr>
        <w:t>Section 2</w:t>
      </w:r>
      <w:r>
        <w:rPr>
          <w:rFonts w:ascii="Times New Roman;serif" w:hAnsi="Times New Roman;serif"/>
          <w:b w:val="false"/>
          <w:color w:val="000000"/>
          <w:sz w:val="24"/>
        </w:rPr>
        <w:t>, the “Restricted Period” shall commence on the Date of Grant and end on the Participant’s termination of employment or service with the Company or its subsidiaries.</w:t>
      </w:r>
    </w:p>
    <w:p>
      <w:pPr>
        <w:pStyle w:val="TextBody"/>
        <w:bidi w:val="0"/>
        <w:spacing w:lineRule="auto" w:line="288" w:before="0" w:after="240"/>
        <w:jc w:val="both"/>
        <w:rPr>
          <w:rFonts w:ascii="Times New Roman;serif" w:hAnsi="Times New Roman;serif"/>
          <w:b/>
          <w:color w:val="000000"/>
          <w:sz w:val="24"/>
          <w:u w:val="single"/>
        </w:rPr>
      </w:pPr>
      <w:r>
        <w:rPr>
          <w:rFonts w:ascii="Times New Roman;serif" w:hAnsi="Times New Roman;serif"/>
          <w:b/>
          <w:color w:val="000000"/>
          <w:sz w:val="24"/>
          <w:u w:val="single"/>
        </w:rPr>
        <w:t>Oklahoma</w:t>
      </w:r>
    </w:p>
    <w:p>
      <w:pPr>
        <w:pStyle w:val="TextBody"/>
        <w:bidi w:val="0"/>
        <w:spacing w:lineRule="auto" w:line="288" w:before="0" w:after="240"/>
        <w:jc w:val="both"/>
        <w:rPr/>
      </w:pPr>
      <w:r>
        <w:rPr>
          <w:rFonts w:ascii="Times New Roman;serif" w:hAnsi="Times New Roman;serif"/>
          <w:b w:val="false"/>
          <w:color w:val="000000"/>
          <w:sz w:val="24"/>
          <w:u w:val="single"/>
        </w:rPr>
        <w:t>Section 2</w:t>
      </w:r>
      <w:r>
        <w:rPr>
          <w:rFonts w:ascii="Times New Roman;serif" w:hAnsi="Times New Roman;serif"/>
          <w:b w:val="false"/>
          <w:color w:val="000000"/>
          <w:sz w:val="24"/>
        </w:rPr>
        <w:t xml:space="preserve">: For purposes of </w:t>
      </w:r>
      <w:r>
        <w:rPr>
          <w:rFonts w:ascii="Times New Roman;serif" w:hAnsi="Times New Roman;serif"/>
          <w:b w:val="false"/>
          <w:color w:val="000000"/>
          <w:sz w:val="24"/>
          <w:u w:val="single"/>
        </w:rPr>
        <w:t>Section 2</w:t>
      </w:r>
      <w:r>
        <w:rPr>
          <w:rFonts w:ascii="Times New Roman;serif" w:hAnsi="Times New Roman;serif"/>
          <w:b w:val="false"/>
          <w:color w:val="000000"/>
          <w:sz w:val="24"/>
        </w:rPr>
        <w:t>, the “Restricted Period” shall commence on the Date of Grant and end on the Participant’s termination of employment or service with the Company or its subsidiaries.</w:t>
      </w:r>
    </w:p>
    <w:p>
      <w:pPr>
        <w:pStyle w:val="TextBody"/>
        <w:bidi w:val="0"/>
        <w:spacing w:lineRule="auto" w:line="288" w:before="0" w:after="240"/>
        <w:jc w:val="both"/>
        <w:rPr/>
      </w:pPr>
      <w:r>
        <w:rPr>
          <w:rFonts w:ascii="Times New Roman;serif" w:hAnsi="Times New Roman;serif"/>
          <w:b w:val="false"/>
          <w:color w:val="000000"/>
          <w:sz w:val="24"/>
          <w:u w:val="single"/>
        </w:rPr>
        <w:t>Section 3(c)</w:t>
      </w:r>
      <w:r>
        <w:rPr>
          <w:rFonts w:ascii="Times New Roman;serif" w:hAnsi="Times New Roman;serif"/>
          <w:b w:val="false"/>
          <w:color w:val="000000"/>
          <w:sz w:val="24"/>
        </w:rPr>
        <w:t xml:space="preserve">: The following shall replace </w:t>
      </w:r>
      <w:r>
        <w:rPr>
          <w:rFonts w:ascii="Times New Roman;serif" w:hAnsi="Times New Roman;serif"/>
          <w:b w:val="false"/>
          <w:color w:val="000000"/>
          <w:sz w:val="24"/>
          <w:u w:val="single"/>
        </w:rPr>
        <w:t>Section 3(c)</w:t>
      </w:r>
      <w:r>
        <w:rPr>
          <w:rFonts w:ascii="Times New Roman;serif" w:hAnsi="Times New Roman;serif"/>
          <w:b w:val="false"/>
          <w:color w:val="000000"/>
          <w:sz w:val="24"/>
        </w:rPr>
        <w:t>:</w:t>
      </w:r>
    </w:p>
    <w:p>
      <w:pPr>
        <w:pStyle w:val="TextBody"/>
        <w:bidi w:val="0"/>
        <w:spacing w:lineRule="auto" w:line="288" w:before="0" w:after="240"/>
        <w:jc w:val="both"/>
        <w:rPr>
          <w:color w:val="000000"/>
        </w:rPr>
      </w:pPr>
      <w:r>
        <w:rPr>
          <w:color w:val="000000"/>
        </w:rPr>
        <w:t>“…</w:t>
      </w:r>
      <w:r>
        <w:rPr>
          <w:rFonts w:ascii="Times New Roman;serif" w:hAnsi="Times New Roman;serif"/>
          <w:b w:val="false"/>
          <w:color w:val="000000"/>
          <w:sz w:val="24"/>
        </w:rPr>
        <w:t>directly solicit the sale of goods, services, or a combination of goods and services from the established customers of the Company or its subsidiaries.”</w:t>
      </w:r>
    </w:p>
    <w:p>
      <w:pPr>
        <w:pStyle w:val="TextBody"/>
        <w:bidi w:val="0"/>
        <w:spacing w:lineRule="auto" w:line="288" w:before="0" w:after="240"/>
        <w:jc w:val="both"/>
        <w:rPr>
          <w:rFonts w:ascii="Times New Roman;serif" w:hAnsi="Times New Roman;serif"/>
          <w:b/>
          <w:color w:val="000000"/>
          <w:sz w:val="24"/>
          <w:u w:val="single"/>
        </w:rPr>
      </w:pPr>
      <w:r>
        <w:rPr>
          <w:rFonts w:ascii="Times New Roman;serif" w:hAnsi="Times New Roman;serif"/>
          <w:b/>
          <w:color w:val="000000"/>
          <w:sz w:val="24"/>
          <w:u w:val="single"/>
        </w:rPr>
        <w:t>Oregon</w:t>
      </w:r>
    </w:p>
    <w:p>
      <w:pPr>
        <w:pStyle w:val="TextBody"/>
        <w:bidi w:val="0"/>
        <w:spacing w:lineRule="auto" w:line="288"/>
        <w:jc w:val="both"/>
        <w:rPr/>
      </w:pPr>
      <w:r>
        <w:rPr>
          <w:rFonts w:ascii="Times New Roman;serif" w:hAnsi="Times New Roman;serif"/>
          <w:b w:val="false"/>
          <w:color w:val="000000"/>
          <w:sz w:val="24"/>
          <w:u w:val="single"/>
        </w:rPr>
        <w:t>Section 2</w:t>
      </w:r>
      <w:r>
        <w:rPr>
          <w:rFonts w:ascii="Times New Roman;serif" w:hAnsi="Times New Roman;serif"/>
          <w:b w:val="false"/>
          <w:color w:val="000000"/>
          <w:sz w:val="24"/>
        </w:rPr>
        <w:t xml:space="preserve">: The post-employment portion of the Restricted Period (for purposes of this </w:t>
      </w:r>
      <w:r>
        <w:rPr>
          <w:rFonts w:ascii="Times New Roman;serif" w:hAnsi="Times New Roman;serif"/>
          <w:b w:val="false"/>
          <w:color w:val="000000"/>
          <w:sz w:val="24"/>
          <w:u w:val="single"/>
        </w:rPr>
        <w:t>Section 2</w:t>
      </w:r>
      <w:r>
        <w:rPr>
          <w:color w:val="000000"/>
        </w:rPr>
        <w:t xml:space="preserve"> </w:t>
      </w:r>
      <w:r>
        <w:rPr>
          <w:rFonts w:ascii="Times New Roman;serif" w:hAnsi="Times New Roman;serif"/>
          <w:b w:val="false"/>
          <w:color w:val="000000"/>
          <w:sz w:val="24"/>
        </w:rPr>
        <w:t xml:space="preserve">only) shall apply only if (i) (A) the Company informs the Participant in a written employment offer received by the Participant at least two (2) weeks before the first day of the Participant’s employment or service that a non-competition agreement is required as a condition of employment or (B) the Participant executes this Exhibit B upon a bona fide advancement, (ii) the Participant is classified as exempt under state wage and hour law, (iii) the Participant has access to trade secrets of the Company or its subsidiaries or competitively sensitive Confidential Information, and (iv) as of the date of the Participant’s termination of employment, the total amount of the Participant’s annual gross salary and commissions, calculated on an annual basis, exceeds the threshold set forth in </w:t>
      </w:r>
      <w:r>
        <w:rPr>
          <w:rFonts w:ascii="Times New Roman;serif" w:hAnsi="Times New Roman;serif"/>
          <w:b w:val="false"/>
          <w:color w:val="0000FF"/>
          <w:sz w:val="24"/>
        </w:rPr>
        <w:t>Or. Rev. Stat. § 653.295(1)</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if the Participant does not satisfy prongs (ii) or (iv) of the foregoing, the Company may, in its discretion, in order for the restrictions set forth in </w:t>
      </w:r>
      <w:r>
        <w:rPr>
          <w:rFonts w:ascii="Times New Roman;serif" w:hAnsi="Times New Roman;serif"/>
          <w:b w:val="false"/>
          <w:color w:val="000000"/>
          <w:sz w:val="24"/>
          <w:u w:val="single"/>
        </w:rPr>
        <w:t>Section 2</w:t>
      </w:r>
      <w:r>
        <w:rPr>
          <w:color w:val="000000"/>
        </w:rPr>
        <w:t xml:space="preserve"> </w:t>
      </w:r>
      <w:r>
        <w:rPr>
          <w:rFonts w:ascii="Times New Roman;serif" w:hAnsi="Times New Roman;serif"/>
          <w:b w:val="false"/>
          <w:color w:val="000000"/>
          <w:sz w:val="24"/>
        </w:rPr>
        <w:t xml:space="preserve">to apply to the Participant during the post-employment portion of the Restricted Period, pay the Participant during the post-employment portion of the Restricted Period, the greater of compensation equal to at least fifty percent (50%) of (x) the Participant’s annual gross base salary and commissions at the time of </w:t>
      </w:r>
    </w:p>
    <w:p>
      <w:pPr>
        <w:pStyle w:val="TextBody"/>
        <w:bidi w:val="0"/>
        <w:spacing w:before="0" w:after="0"/>
        <w:jc w:val="both"/>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385445"/>
                <wp:effectExtent l="0" t="0" r="0" b="0"/>
                <wp:wrapNone/>
                <wp:docPr id="103" name="Frame10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B-11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4"/>
        </w:rPr>
        <w:t xml:space="preserve">Termination or (y) the threshold set forth in </w:t>
      </w:r>
      <w:r>
        <w:rPr>
          <w:rFonts w:ascii="Times New Roman;serif" w:hAnsi="Times New Roman;serif"/>
          <w:b w:val="false"/>
          <w:color w:val="0000FF"/>
          <w:sz w:val="24"/>
        </w:rPr>
        <w:t>Or. Rev. Stat. § 653.295(1)</w:t>
      </w:r>
      <w:r>
        <w:rPr>
          <w:color w:val="000000"/>
        </w:rPr>
        <w:t xml:space="preserve"> </w:t>
      </w:r>
      <w:r>
        <w:rPr>
          <w:rFonts w:ascii="Times New Roman;serif" w:hAnsi="Times New Roman;serif"/>
          <w:b w:val="false"/>
          <w:color w:val="000000"/>
          <w:sz w:val="24"/>
        </w:rPr>
        <w:t>(the “</w:t>
      </w:r>
      <w:r>
        <w:rPr>
          <w:rFonts w:ascii="Times New Roman;serif" w:hAnsi="Times New Roman;serif"/>
          <w:b w:val="false"/>
          <w:color w:val="000000"/>
          <w:sz w:val="24"/>
          <w:u w:val="single"/>
        </w:rPr>
        <w:t>Garden Leave Payments</w:t>
      </w:r>
      <w:r>
        <w:rPr>
          <w:color w:val="000000"/>
        </w:rPr>
        <w:t>”</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further</w:t>
      </w:r>
      <w:r>
        <w:rPr>
          <w:rFonts w:ascii="Times New Roman;serif" w:hAnsi="Times New Roman;serif"/>
          <w:b w:val="false"/>
          <w:color w:val="000000"/>
          <w:sz w:val="24"/>
        </w:rPr>
        <w:t xml:space="preserve">, that (1) in the event that the Company, in its discretion, waives such obligations of the Participant under </w:t>
      </w:r>
      <w:r>
        <w:rPr>
          <w:rFonts w:ascii="Times New Roman;serif" w:hAnsi="Times New Roman;serif"/>
          <w:b w:val="false"/>
          <w:color w:val="000000"/>
          <w:sz w:val="24"/>
          <w:u w:val="single"/>
        </w:rPr>
        <w:t>Section 2</w:t>
      </w:r>
      <w:r>
        <w:rPr>
          <w:color w:val="000000"/>
        </w:rPr>
        <w:t xml:space="preserve"> </w:t>
      </w:r>
      <w:r>
        <w:rPr>
          <w:rFonts w:ascii="Times New Roman;serif" w:hAnsi="Times New Roman;serif"/>
          <w:b w:val="false"/>
          <w:color w:val="000000"/>
          <w:sz w:val="24"/>
        </w:rPr>
        <w:t>at any time during the post-employment portion of the Restricted Period, the Company’s obligation to make the Garden Leave Payments to the Participant shall cease, (2) the Participant’s right to receive and retain any Garden Leave Payments is conditioned on the Participant’s compliance in full with the Participant’s obligations under Section 2, and (3) any Garden Leave Payments paid by the Company will be payable as salary continuation, less all applicable federal, state, and local taxes and withholdings, in accordance with the Company’s standard regular payroll practices. The Participant acknowledges and agrees that any Garden Leave Payments shall reduce (and shall not be in addition to) any severance or separation pay that the Participant is otherwise entitled to receive from the Company or its subsidiaries pursuant to an agreement, plan, or otherwise.</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color w:val="000000"/>
          <w:sz w:val="24"/>
          <w:u w:val="single"/>
        </w:rPr>
      </w:pPr>
      <w:r>
        <w:rPr>
          <w:rFonts w:ascii="Times New Roman;serif" w:hAnsi="Times New Roman;serif"/>
          <w:b/>
          <w:color w:val="000000"/>
          <w:sz w:val="24"/>
          <w:u w:val="single"/>
        </w:rPr>
        <w:t>Virginia</w:t>
      </w:r>
    </w:p>
    <w:p>
      <w:pPr>
        <w:pStyle w:val="TextBody"/>
        <w:bidi w:val="0"/>
        <w:spacing w:lineRule="auto" w:line="288" w:before="0" w:after="240"/>
        <w:jc w:val="both"/>
        <w:rPr/>
      </w:pPr>
      <w:r>
        <w:rPr>
          <w:rFonts w:ascii="Times New Roman;serif" w:hAnsi="Times New Roman;serif"/>
          <w:b w:val="false"/>
          <w:color w:val="000000"/>
          <w:sz w:val="24"/>
          <w:u w:val="single"/>
        </w:rPr>
        <w:t>Section 1(a)</w:t>
      </w:r>
      <w:r>
        <w:rPr>
          <w:rFonts w:ascii="Times New Roman;serif" w:hAnsi="Times New Roman;serif"/>
          <w:b w:val="false"/>
          <w:color w:val="000000"/>
          <w:sz w:val="24"/>
        </w:rPr>
        <w:t xml:space="preserve">: The non-disclosure covenant in </w:t>
      </w:r>
      <w:r>
        <w:rPr>
          <w:rFonts w:ascii="Times New Roman;serif" w:hAnsi="Times New Roman;serif"/>
          <w:b w:val="false"/>
          <w:color w:val="000000"/>
          <w:sz w:val="24"/>
          <w:u w:val="single"/>
        </w:rPr>
        <w:t>Section 1(a)</w:t>
      </w:r>
      <w:r>
        <w:rPr>
          <w:color w:val="000000"/>
        </w:rPr>
        <w:t xml:space="preserve"> </w:t>
      </w:r>
      <w:r>
        <w:rPr>
          <w:rFonts w:ascii="Times New Roman;serif" w:hAnsi="Times New Roman;serif"/>
          <w:b w:val="false"/>
          <w:color w:val="000000"/>
          <w:sz w:val="24"/>
        </w:rPr>
        <w:t>shall apply during the Participant’s employment or service with the Company or its subsidiaries, for a period of five years thereafter, and to the extent the information qualifies as a trade secret under applicable law, at all times thereafter.</w:t>
      </w:r>
    </w:p>
    <w:p>
      <w:pPr>
        <w:pStyle w:val="TextBody"/>
        <w:bidi w:val="0"/>
        <w:spacing w:lineRule="auto" w:line="288" w:before="0" w:after="240"/>
        <w:jc w:val="both"/>
        <w:rPr>
          <w:rFonts w:ascii="Times New Roman;serif" w:hAnsi="Times New Roman;serif"/>
          <w:b/>
          <w:color w:val="000000"/>
          <w:sz w:val="24"/>
          <w:u w:val="single"/>
        </w:rPr>
      </w:pPr>
      <w:r>
        <w:rPr>
          <w:rFonts w:ascii="Times New Roman;serif" w:hAnsi="Times New Roman;serif"/>
          <w:b/>
          <w:color w:val="000000"/>
          <w:sz w:val="24"/>
          <w:u w:val="single"/>
        </w:rPr>
        <w:t>Washington</w:t>
      </w:r>
    </w:p>
    <w:p>
      <w:pPr>
        <w:pStyle w:val="TextBody"/>
        <w:bidi w:val="0"/>
        <w:spacing w:lineRule="auto" w:line="288"/>
        <w:jc w:val="both"/>
        <w:rPr/>
      </w:pPr>
      <w:r>
        <w:rPr>
          <w:rFonts w:ascii="Times New Roman;serif" w:hAnsi="Times New Roman;serif"/>
          <w:b w:val="false"/>
          <w:color w:val="000000"/>
          <w:sz w:val="24"/>
          <w:u w:val="single"/>
        </w:rPr>
        <w:t>Section 2</w:t>
      </w:r>
      <w:r>
        <w:rPr>
          <w:rFonts w:ascii="Times New Roman;serif" w:hAnsi="Times New Roman;serif"/>
          <w:b w:val="false"/>
          <w:color w:val="000000"/>
          <w:sz w:val="24"/>
        </w:rPr>
        <w:t xml:space="preserve">: The post-employment portion of the Restricted Period (for purposes of this </w:t>
      </w:r>
      <w:r>
        <w:rPr>
          <w:rFonts w:ascii="Times New Roman;serif" w:hAnsi="Times New Roman;serif"/>
          <w:b w:val="false"/>
          <w:color w:val="000000"/>
          <w:sz w:val="24"/>
          <w:u w:val="single"/>
        </w:rPr>
        <w:t>Section 2</w:t>
      </w:r>
      <w:r>
        <w:rPr>
          <w:color w:val="000000"/>
        </w:rPr>
        <w:t xml:space="preserve"> </w:t>
      </w:r>
      <w:r>
        <w:rPr>
          <w:rFonts w:ascii="Times New Roman;serif" w:hAnsi="Times New Roman;serif"/>
          <w:b w:val="false"/>
          <w:color w:val="000000"/>
          <w:sz w:val="24"/>
        </w:rPr>
        <w:t xml:space="preserve">only) shall apply only if the Participant is (i) an employee of the Company or its subsidiaries whose earnings from the Company or its subsidiaries exceed the threshold set forth in RCW 49.62.020 when annualized or (ii) an independent contractor of the Company or any of its subsidiaries whose earnings from the Company or its subsidiaries exceed the threshold set forth in RCW 49.62.030 per year, each amount to be adjusted annually for inflation as calculated by the Washington Department of Labor and Industries pursuant to RCW 49.62.040. Further, to the extent the Participant’s employment or service is terminated by the Company or its subsidiaries as part of a layoff, then the post-employment portion of the Restricted Period (for purposes of this </w:t>
      </w:r>
      <w:r>
        <w:rPr>
          <w:rFonts w:ascii="Times New Roman;serif" w:hAnsi="Times New Roman;serif"/>
          <w:b w:val="false"/>
          <w:color w:val="000000"/>
          <w:sz w:val="24"/>
          <w:u w:val="single"/>
        </w:rPr>
        <w:t>Section 2</w:t>
      </w:r>
      <w:r>
        <w:rPr>
          <w:color w:val="000000"/>
        </w:rPr>
        <w:t xml:space="preserve"> </w:t>
      </w:r>
      <w:r>
        <w:rPr>
          <w:rFonts w:ascii="Times New Roman;serif" w:hAnsi="Times New Roman;serif"/>
          <w:b w:val="false"/>
          <w:color w:val="000000"/>
          <w:sz w:val="24"/>
        </w:rPr>
        <w:t>only) shall be enforced only to the extent that the Company or its subsidiaries, at its option, continues to pay the Participant his or her base salary, at the annual rate in effect as of the date of the Participant’s termination of employment or service with the Company or its subsidiaries, in accordance with the Company’s regular payroll practices, and subject to deduction for any compensation earned through subsequent employment during the period of enforcement (“</w:t>
      </w:r>
      <w:r>
        <w:rPr>
          <w:rFonts w:ascii="Times New Roman;serif" w:hAnsi="Times New Roman;serif"/>
          <w:b w:val="false"/>
          <w:color w:val="000000"/>
          <w:sz w:val="24"/>
          <w:u w:val="single"/>
        </w:rPr>
        <w:t>Garden Leave Payments</w:t>
      </w:r>
      <w:r>
        <w:rPr>
          <w:color w:val="000000"/>
        </w:rPr>
        <w:t>”</w:t>
      </w:r>
      <w:r>
        <w:rPr>
          <w:rFonts w:ascii="Times New Roman;serif" w:hAnsi="Times New Roman;serif"/>
          <w:b w:val="false"/>
          <w:color w:val="000000"/>
          <w:sz w:val="24"/>
        </w:rPr>
        <w:t xml:space="preserve">). The Participant acknowledges and agrees that any Garden Leave Payments shall reduce (and shall not be in addition to) any severance or separation pay that the Participant is otherwise entitled to receive from the Company or its subsidiaries pursuant to an agreement, plan, or otherwise. Furthermore, if the Participant earns less than twice the applicable state minimum hourly wage, </w:t>
      </w:r>
      <w:r>
        <w:rPr>
          <w:rFonts w:ascii="Times New Roman;serif" w:hAnsi="Times New Roman;serif"/>
          <w:b w:val="false"/>
          <w:color w:val="000000"/>
          <w:sz w:val="24"/>
          <w:u w:val="single"/>
        </w:rPr>
        <w:t>Section 2</w:t>
      </w:r>
      <w:r>
        <w:rPr>
          <w:color w:val="000000"/>
        </w:rPr>
        <w:t xml:space="preserve"> </w:t>
      </w:r>
      <w:r>
        <w:rPr>
          <w:rFonts w:ascii="Times New Roman;serif" w:hAnsi="Times New Roman;serif"/>
          <w:b w:val="false"/>
          <w:color w:val="000000"/>
          <w:sz w:val="24"/>
        </w:rPr>
        <w:t xml:space="preserve">shall not restrict, restrain, or prohibit the Participant from having an additional job, supplementing the Participant’s income by working for another employer, working as an independent contractor or being self-employed,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such additional services do not raise issues of safety for the Participant, coworkers or the public, or interfere with the reasonable and normal scheduling expectations of the </w:t>
      </w:r>
    </w:p>
    <w:p>
      <w:pPr>
        <w:pStyle w:val="TextBody"/>
        <w:bidi w:val="0"/>
        <w:spacing w:before="0" w:after="0"/>
        <w:jc w:val="both"/>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385445"/>
                <wp:effectExtent l="0" t="0" r="0" b="0"/>
                <wp:wrapNone/>
                <wp:docPr id="104" name="Frame10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B-12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Company or its subsidiaries. Nothing in the foregoing sentence alters the obligations of the Participant to the Company or its subsidiaries under existing law, including the common law duty of loyalty and laws preventing conflicts of interest and any corresponding policies addressing such obligations.</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color w:val="000000"/>
          <w:sz w:val="24"/>
          <w:u w:val="single"/>
        </w:rPr>
      </w:pPr>
      <w:r>
        <w:rPr>
          <w:rFonts w:ascii="Times New Roman;serif" w:hAnsi="Times New Roman;serif"/>
          <w:b/>
          <w:color w:val="000000"/>
          <w:sz w:val="24"/>
          <w:u w:val="single"/>
        </w:rPr>
        <w:t>Wisconsin</w:t>
      </w:r>
    </w:p>
    <w:p>
      <w:pPr>
        <w:pStyle w:val="TextBody"/>
        <w:bidi w:val="0"/>
        <w:spacing w:lineRule="auto" w:line="288" w:before="0" w:after="240"/>
        <w:jc w:val="both"/>
        <w:rPr/>
      </w:pPr>
      <w:r>
        <w:rPr>
          <w:rFonts w:ascii="Times New Roman;serif" w:hAnsi="Times New Roman;serif"/>
          <w:b w:val="false"/>
          <w:color w:val="000000"/>
          <w:sz w:val="24"/>
          <w:u w:val="single"/>
        </w:rPr>
        <w:t>Section 1(a)</w:t>
      </w:r>
      <w:r>
        <w:rPr>
          <w:rFonts w:ascii="Times New Roman;serif" w:hAnsi="Times New Roman;serif"/>
          <w:b w:val="false"/>
          <w:color w:val="000000"/>
          <w:sz w:val="24"/>
        </w:rPr>
        <w:t xml:space="preserve">: The non-disclosure covenant in </w:t>
      </w:r>
      <w:r>
        <w:rPr>
          <w:rFonts w:ascii="Times New Roman;serif" w:hAnsi="Times New Roman;serif"/>
          <w:b w:val="false"/>
          <w:color w:val="000000"/>
          <w:sz w:val="24"/>
          <w:u w:val="single"/>
        </w:rPr>
        <w:t>Section 1(a)</w:t>
      </w:r>
      <w:r>
        <w:rPr>
          <w:color w:val="000000"/>
        </w:rPr>
        <w:t xml:space="preserve"> </w:t>
      </w:r>
      <w:r>
        <w:rPr>
          <w:rFonts w:ascii="Times New Roman;serif" w:hAnsi="Times New Roman;serif"/>
          <w:b w:val="false"/>
          <w:color w:val="000000"/>
          <w:sz w:val="24"/>
        </w:rPr>
        <w:t xml:space="preserve">shall apply during the Participant’s employment or service with the Company or its subsidiaries, for a period of five (5) years thereafter, and to the extent the information qualifies as a trade secret under applicable law, at all times thereafter. Additionally, with respect to Confidential Information that does not constitute trade secrets, the non-disclosure covenant in </w:t>
      </w:r>
      <w:r>
        <w:rPr>
          <w:rFonts w:ascii="Times New Roman;serif" w:hAnsi="Times New Roman;serif"/>
          <w:b w:val="false"/>
          <w:color w:val="000000"/>
          <w:sz w:val="24"/>
          <w:u w:val="single"/>
        </w:rPr>
        <w:t>Section 1(a)</w:t>
      </w:r>
      <w:r>
        <w:rPr>
          <w:color w:val="000000"/>
        </w:rPr>
        <w:t xml:space="preserve"> </w:t>
      </w:r>
      <w:r>
        <w:rPr>
          <w:rFonts w:ascii="Times New Roman;serif" w:hAnsi="Times New Roman;serif"/>
          <w:b w:val="false"/>
          <w:color w:val="000000"/>
          <w:sz w:val="24"/>
        </w:rPr>
        <w:t>will only apply in jurisdictions where disclosure of such information would be competitively damaging to the Company or its subsidiaries.</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31.1</w:t>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385445"/>
                <wp:effectExtent l="0" t="0" r="0" b="0"/>
                <wp:wrapNone/>
                <wp:docPr id="105" name="Frame10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B-13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B-13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RULE 13A-14(A) AND RULE 15D-14(A)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 AS AMENDED</w:t>
      </w:r>
    </w:p>
    <w:p>
      <w:pPr>
        <w:pStyle w:val="TextBody"/>
        <w:bidi w:val="0"/>
        <w:spacing w:lineRule="atLeast" w:line="240" w:before="180" w:after="18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 Jeffrey Sprau, certify that:</w:t>
      </w:r>
    </w:p>
    <w:p>
      <w:pPr>
        <w:pStyle w:val="TextBody"/>
        <w:bidi w:val="0"/>
        <w:spacing w:lineRule="auto" w:line="288" w:before="0" w:after="120"/>
        <w:ind w:left="0" w:right="0" w:hanging="619"/>
        <w:jc w:val="left"/>
        <w:rPr/>
      </w:pPr>
      <w:r>
        <w:rPr>
          <w:rFonts w:ascii="Times New Roman;serif" w:hAnsi="Times New Roman;serif"/>
          <w:b w:val="false"/>
          <w:color w:val="000000"/>
          <w:sz w:val="20"/>
        </w:rPr>
        <w:t>1.</w:t>
      </w:r>
      <w:r>
        <w:rPr>
          <w:rFonts w:ascii="Times New Roman;serif" w:hAnsi="Times New Roman;serif"/>
          <w:b w:val="false"/>
          <w:color w:val="000000"/>
          <w:sz w:val="22"/>
        </w:rPr>
        <w:t>I have reviewed this Quarterly Report on Form 10-Q for the quarter ended March 31, 2026 of Legence Corp. (the “registrant”);</w:t>
      </w:r>
    </w:p>
    <w:p>
      <w:pPr>
        <w:pStyle w:val="TextBody"/>
        <w:bidi w:val="0"/>
        <w:spacing w:lineRule="auto" w:line="288" w:before="0" w:after="120"/>
        <w:ind w:left="0" w:right="0" w:hanging="619"/>
        <w:jc w:val="left"/>
        <w:rPr/>
      </w:pPr>
      <w:r>
        <w:rPr>
          <w:rFonts w:ascii="Times New Roman;serif" w:hAnsi="Times New Roman;serif"/>
          <w:b w:val="false"/>
          <w:color w:val="000000"/>
          <w:sz w:val="20"/>
        </w:rPr>
        <w:t>2.</w:t>
      </w:r>
      <w:r>
        <w:rPr>
          <w:rFonts w:ascii="Times New Roman;serif" w:hAnsi="Times New Roman;serif"/>
          <w:b w:val="false"/>
          <w:color w:val="000000"/>
          <w:sz w:val="22"/>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619"/>
        <w:jc w:val="left"/>
        <w:rPr/>
      </w:pPr>
      <w:r>
        <w:rPr>
          <w:rFonts w:ascii="Times New Roman;serif" w:hAnsi="Times New Roman;serif"/>
          <w:b w:val="false"/>
          <w:color w:val="000000"/>
          <w:sz w:val="20"/>
        </w:rPr>
        <w:t>3.</w:t>
      </w:r>
      <w:r>
        <w:rPr>
          <w:rFonts w:ascii="Times New Roman;serif" w:hAnsi="Times New Roman;serif"/>
          <w:b w:val="false"/>
          <w:color w:val="000000"/>
          <w:sz w:val="22"/>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619"/>
        <w:jc w:val="left"/>
        <w:rPr/>
      </w:pPr>
      <w:r>
        <w:rPr>
          <w:rFonts w:ascii="Times New Roman;serif" w:hAnsi="Times New Roman;serif"/>
          <w:b w:val="false"/>
          <w:color w:val="000000"/>
          <w:sz w:val="20"/>
        </w:rPr>
        <w:t>4.</w:t>
      </w:r>
      <w:r>
        <w:rPr>
          <w:rFonts w:ascii="Times New Roman;serif" w:hAnsi="Times New Roman;serif"/>
          <w:b w:val="false"/>
          <w:color w:val="000000"/>
          <w:sz w:val="22"/>
        </w:rPr>
        <w:t>The registrant’s other certifying officer(s) and I are responsible for establishing and maintaining disclosure controls and procedures (as defined in Exchange Act Rules 13a-15(e) and 15d-15(e)) for the registrant and have:</w:t>
      </w:r>
    </w:p>
    <w:p>
      <w:pPr>
        <w:pStyle w:val="TextBody"/>
        <w:bidi w:val="0"/>
        <w:spacing w:lineRule="auto" w:line="288" w:before="0" w:after="12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b.Evaluated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left"/>
        <w:rPr/>
      </w:pPr>
      <w:r>
        <w:rPr>
          <w:rFonts w:ascii="Times New Roman;serif" w:hAnsi="Times New Roman;serif"/>
          <w:b w:val="false"/>
          <w:color w:val="000000"/>
          <w:sz w:val="22"/>
        </w:rPr>
        <w:t>c.</w:t>
      </w:r>
      <w:r>
        <w:rPr>
          <w:color w:val="000000"/>
        </w:rPr>
        <w:t xml:space="preserve"> </w:t>
      </w:r>
      <w:r>
        <w:rPr>
          <w:rFonts w:ascii="Times New Roman;serif" w:hAnsi="Times New Roman;serif"/>
          <w:b w:val="false"/>
          <w:color w:val="000000"/>
          <w:sz w:val="22"/>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619"/>
        <w:jc w:val="left"/>
        <w:rPr/>
      </w:pPr>
      <w:r>
        <w:rPr>
          <w:rFonts w:ascii="Times New Roman;serif" w:hAnsi="Times New Roman;serif"/>
          <w:b w:val="false"/>
          <w:color w:val="000000"/>
          <w:sz w:val="20"/>
        </w:rPr>
        <w:t>5.</w:t>
      </w:r>
      <w:r>
        <w:rPr>
          <w:rFonts w:ascii="Times New Roman;serif" w:hAnsi="Times New Roman;serif"/>
          <w:b w:val="false"/>
          <w:color w:val="000000"/>
          <w:sz w:val="22"/>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b.Any fraud, whether or not material, that involves management or other employees who have a significant role in the registrant’s internal control over financial reporting.</w:t>
      </w:r>
    </w:p>
    <w:tbl>
      <w:tblPr>
        <w:tblW w:w="5338" w:type="dxa"/>
        <w:jc w:val="left"/>
        <w:tblInd w:w="0" w:type="dxa"/>
        <w:tblLayout w:type="fixed"/>
        <w:tblCellMar>
          <w:top w:w="28" w:type="dxa"/>
          <w:left w:w="28" w:type="dxa"/>
          <w:bottom w:w="28" w:type="dxa"/>
          <w:right w:w="28" w:type="dxa"/>
        </w:tblCellMar>
      </w:tblPr>
      <w:tblGrid>
        <w:gridCol w:w="248"/>
        <w:gridCol w:w="218"/>
        <w:gridCol w:w="218"/>
        <w:gridCol w:w="218"/>
        <w:gridCol w:w="218"/>
        <w:gridCol w:w="218"/>
        <w:gridCol w:w="218"/>
        <w:gridCol w:w="218"/>
        <w:gridCol w:w="218"/>
        <w:gridCol w:w="109"/>
        <w:gridCol w:w="109"/>
        <w:gridCol w:w="109"/>
        <w:gridCol w:w="109"/>
        <w:gridCol w:w="109"/>
        <w:gridCol w:w="109"/>
        <w:gridCol w:w="109"/>
        <w:gridCol w:w="109"/>
        <w:gridCol w:w="109"/>
        <w:gridCol w:w="251"/>
        <w:gridCol w:w="251"/>
        <w:gridCol w:w="251"/>
        <w:gridCol w:w="251"/>
        <w:gridCol w:w="251"/>
        <w:gridCol w:w="251"/>
        <w:gridCol w:w="251"/>
        <w:gridCol w:w="251"/>
        <w:gridCol w:w="357"/>
      </w:tblGrid>
      <w:tr>
        <w:trPr/>
        <w:tc>
          <w:tcPr>
            <w:tcW w:w="24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r>
      <w:tr>
        <w:trPr/>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236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Jeffrey Sprau</w:t>
            </w:r>
          </w:p>
        </w:tc>
      </w:tr>
      <w:tr>
        <w:trPr/>
        <w:tc>
          <w:tcPr>
            <w:tcW w:w="199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Jeffrey Sprau</w:t>
            </w:r>
          </w:p>
        </w:tc>
      </w:tr>
      <w:tr>
        <w:trPr/>
        <w:tc>
          <w:tcPr>
            <w:tcW w:w="199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Chief Executive Officer</w:t>
            </w:r>
          </w:p>
        </w:tc>
      </w:tr>
      <w:tr>
        <w:trPr/>
        <w:tc>
          <w:tcPr>
            <w:tcW w:w="199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 May 14, 2026</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31.2</w:t>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6"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RULE 13A-14(A) AND RULE 15D-14(A)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 AS AMENDED</w:t>
      </w:r>
    </w:p>
    <w:p>
      <w:pPr>
        <w:pStyle w:val="TextBody"/>
        <w:bidi w:val="0"/>
        <w:spacing w:lineRule="atLeast" w:line="240" w:before="180" w:after="180"/>
        <w:jc w:val="both"/>
        <w:rPr>
          <w:rFonts w:ascii="Times New Roman;serif" w:hAnsi="Times New Roman;serif"/>
          <w:b w:val="false"/>
          <w:color w:val="000000"/>
          <w:sz w:val="22"/>
        </w:rPr>
      </w:pPr>
      <w:r>
        <w:rPr>
          <w:rFonts w:ascii="Times New Roman;serif" w:hAnsi="Times New Roman;serif"/>
          <w:b w:val="false"/>
          <w:color w:val="000000"/>
          <w:sz w:val="22"/>
        </w:rPr>
        <w:t>I, Stephen Butz, certify that:</w:t>
      </w:r>
    </w:p>
    <w:p>
      <w:pPr>
        <w:pStyle w:val="TextBody"/>
        <w:bidi w:val="0"/>
        <w:spacing w:lineRule="auto" w:line="288" w:before="0" w:after="120"/>
        <w:ind w:left="0" w:right="0" w:hanging="619"/>
        <w:jc w:val="left"/>
        <w:rPr/>
      </w:pPr>
      <w:r>
        <w:rPr>
          <w:rFonts w:ascii="Times New Roman;serif" w:hAnsi="Times New Roman;serif"/>
          <w:b w:val="false"/>
          <w:color w:val="000000"/>
          <w:sz w:val="20"/>
        </w:rPr>
        <w:t>1.</w:t>
      </w:r>
      <w:r>
        <w:rPr>
          <w:rFonts w:ascii="Times New Roman;serif" w:hAnsi="Times New Roman;serif"/>
          <w:b w:val="false"/>
          <w:color w:val="000000"/>
          <w:sz w:val="22"/>
        </w:rPr>
        <w:t>I have reviewed this Quarterly Report on Form 10-Q for the quarter ended March 31, 2026 of Legence Corp. (the “registrant”);</w:t>
      </w:r>
    </w:p>
    <w:p>
      <w:pPr>
        <w:pStyle w:val="TextBody"/>
        <w:bidi w:val="0"/>
        <w:spacing w:lineRule="auto" w:line="288" w:before="0" w:after="120"/>
        <w:ind w:left="0" w:right="0" w:hanging="619"/>
        <w:jc w:val="left"/>
        <w:rPr/>
      </w:pPr>
      <w:r>
        <w:rPr>
          <w:rFonts w:ascii="Times New Roman;serif" w:hAnsi="Times New Roman;serif"/>
          <w:b w:val="false"/>
          <w:color w:val="000000"/>
          <w:sz w:val="20"/>
        </w:rPr>
        <w:t>2.</w:t>
      </w:r>
      <w:r>
        <w:rPr>
          <w:rFonts w:ascii="Times New Roman;serif" w:hAnsi="Times New Roman;serif"/>
          <w:b w:val="false"/>
          <w:color w:val="000000"/>
          <w:sz w:val="22"/>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619"/>
        <w:jc w:val="left"/>
        <w:rPr/>
      </w:pPr>
      <w:r>
        <w:rPr>
          <w:rFonts w:ascii="Times New Roman;serif" w:hAnsi="Times New Roman;serif"/>
          <w:b w:val="false"/>
          <w:color w:val="000000"/>
          <w:sz w:val="20"/>
        </w:rPr>
        <w:t>3.</w:t>
      </w:r>
      <w:r>
        <w:rPr>
          <w:rFonts w:ascii="Times New Roman;serif" w:hAnsi="Times New Roman;serif"/>
          <w:b w:val="false"/>
          <w:color w:val="000000"/>
          <w:sz w:val="22"/>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619"/>
        <w:jc w:val="left"/>
        <w:rPr/>
      </w:pPr>
      <w:r>
        <w:rPr>
          <w:rFonts w:ascii="Times New Roman;serif" w:hAnsi="Times New Roman;serif"/>
          <w:b w:val="false"/>
          <w:color w:val="000000"/>
          <w:sz w:val="20"/>
        </w:rPr>
        <w:t>4.</w:t>
      </w:r>
      <w:r>
        <w:rPr>
          <w:rFonts w:ascii="Times New Roman;serif" w:hAnsi="Times New Roman;serif"/>
          <w:b w:val="false"/>
          <w:color w:val="000000"/>
          <w:sz w:val="22"/>
        </w:rPr>
        <w:t>The registrant’s other certifying officer(s) and I are responsible for establishing and maintaining disclosure controls and procedures (as defined in Exchange Act Rules 13a-15(e) and 15d-15(e)) for the registrant and have:</w:t>
      </w:r>
    </w:p>
    <w:p>
      <w:pPr>
        <w:pStyle w:val="TextBody"/>
        <w:bidi w:val="0"/>
        <w:spacing w:lineRule="auto" w:line="288" w:before="0" w:after="12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b.Evaluated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left"/>
        <w:rPr/>
      </w:pPr>
      <w:r>
        <w:rPr>
          <w:rFonts w:ascii="Times New Roman;serif" w:hAnsi="Times New Roman;serif"/>
          <w:b w:val="false"/>
          <w:color w:val="000000"/>
          <w:sz w:val="22"/>
        </w:rPr>
        <w:t>c.</w:t>
      </w:r>
      <w:r>
        <w:rPr>
          <w:color w:val="000000"/>
        </w:rPr>
        <w:t xml:space="preserve"> </w:t>
      </w:r>
      <w:r>
        <w:rPr>
          <w:rFonts w:ascii="Times New Roman;serif" w:hAnsi="Times New Roman;serif"/>
          <w:b w:val="false"/>
          <w:color w:val="000000"/>
          <w:sz w:val="22"/>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619"/>
        <w:jc w:val="left"/>
        <w:rPr/>
      </w:pPr>
      <w:r>
        <w:rPr>
          <w:rFonts w:ascii="Times New Roman;serif" w:hAnsi="Times New Roman;serif"/>
          <w:b w:val="false"/>
          <w:color w:val="000000"/>
          <w:sz w:val="20"/>
        </w:rPr>
        <w:t>5.</w:t>
      </w:r>
      <w:r>
        <w:rPr>
          <w:rFonts w:ascii="Times New Roman;serif" w:hAnsi="Times New Roman;serif"/>
          <w:b w:val="false"/>
          <w:color w:val="000000"/>
          <w:sz w:val="22"/>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b.Any fraud, whether or not material, that involves management or other employees who have a significant role in the registrant’s internal control over financial reporting.</w:t>
      </w:r>
    </w:p>
    <w:tbl>
      <w:tblPr>
        <w:tblW w:w="5263" w:type="dxa"/>
        <w:jc w:val="left"/>
        <w:tblInd w:w="0" w:type="dxa"/>
        <w:tblLayout w:type="fixed"/>
        <w:tblCellMar>
          <w:top w:w="28" w:type="dxa"/>
          <w:left w:w="28" w:type="dxa"/>
          <w:bottom w:w="28" w:type="dxa"/>
          <w:right w:w="28" w:type="dxa"/>
        </w:tblCellMar>
      </w:tblPr>
      <w:tblGrid>
        <w:gridCol w:w="248"/>
        <w:gridCol w:w="218"/>
        <w:gridCol w:w="218"/>
        <w:gridCol w:w="218"/>
        <w:gridCol w:w="218"/>
        <w:gridCol w:w="218"/>
        <w:gridCol w:w="218"/>
        <w:gridCol w:w="218"/>
        <w:gridCol w:w="218"/>
        <w:gridCol w:w="109"/>
        <w:gridCol w:w="109"/>
        <w:gridCol w:w="109"/>
        <w:gridCol w:w="109"/>
        <w:gridCol w:w="109"/>
        <w:gridCol w:w="109"/>
        <w:gridCol w:w="109"/>
        <w:gridCol w:w="109"/>
        <w:gridCol w:w="109"/>
        <w:gridCol w:w="243"/>
        <w:gridCol w:w="243"/>
        <w:gridCol w:w="243"/>
        <w:gridCol w:w="243"/>
        <w:gridCol w:w="243"/>
        <w:gridCol w:w="243"/>
        <w:gridCol w:w="243"/>
        <w:gridCol w:w="243"/>
        <w:gridCol w:w="346"/>
      </w:tblGrid>
      <w:tr>
        <w:trPr/>
        <w:tc>
          <w:tcPr>
            <w:tcW w:w="24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229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Stephen Butz</w:t>
            </w:r>
          </w:p>
        </w:tc>
      </w:tr>
      <w:tr>
        <w:trPr/>
        <w:tc>
          <w:tcPr>
            <w:tcW w:w="199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Stephen Butz</w:t>
            </w:r>
          </w:p>
        </w:tc>
      </w:tr>
      <w:tr>
        <w:trPr/>
        <w:tc>
          <w:tcPr>
            <w:tcW w:w="199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Chief Financial Officer</w:t>
            </w:r>
          </w:p>
        </w:tc>
      </w:tr>
      <w:tr>
        <w:trPr/>
        <w:tc>
          <w:tcPr>
            <w:tcW w:w="199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 May 14, 2026</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32.1</w:t>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7"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CERTIFICATION PURSUANT TO</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18 U.S.C. SECTION 1350</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AS ADOPTED PURSUANT TO</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SECTION 906 OF THE SARBANES-OXLEY ACT OF 2002</w:t>
      </w:r>
    </w:p>
    <w:p>
      <w:pPr>
        <w:pStyle w:val="TextBody"/>
        <w:bidi w:val="0"/>
        <w:spacing w:lineRule="atLeast" w:line="240" w:before="18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connection with the Quarterly Report on Form 10-Q for the quarter ended March 31, 2026 of Legence Corp. (the “Company”), as filed with the Securities and Exchange Commission on the date hereof (the “Report”), I, Jeffrey Sprau, Chief Executive Officer of the Company, certify, pursuant to 18 U.S.C. Section 1350, as adopted pursuant to Section 906 of the Sarbanes-Oxley Act of 2002, that, to my knowledge:</w:t>
      </w:r>
    </w:p>
    <w:p>
      <w:pPr>
        <w:pStyle w:val="TextBody"/>
        <w:bidi w:val="0"/>
        <w:spacing w:lineRule="auto" w:line="288" w:before="0" w:after="16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(i)The Report fully complies with the requirements of Section 13(a) or 15(d) of the Securities Exchange Act of 1934, as amended; and</w:t>
      </w:r>
    </w:p>
    <w:p>
      <w:pPr>
        <w:pStyle w:val="TextBody"/>
        <w:bidi w:val="0"/>
        <w:spacing w:lineRule="auto" w:line="288" w:before="0" w:after="12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(ii)The information contained in the Report fairly presents, in all material respects, the financial condition and results of operations of the Company.</w:t>
      </w:r>
    </w:p>
    <w:tbl>
      <w:tblPr>
        <w:tblW w:w="4357" w:type="dxa"/>
        <w:jc w:val="left"/>
        <w:tblInd w:w="0" w:type="dxa"/>
        <w:tblLayout w:type="fixed"/>
        <w:tblCellMar>
          <w:top w:w="28" w:type="dxa"/>
          <w:left w:w="28" w:type="dxa"/>
          <w:bottom w:w="28" w:type="dxa"/>
          <w:right w:w="28" w:type="dxa"/>
        </w:tblCellMar>
      </w:tblPr>
      <w:tblGrid>
        <w:gridCol w:w="248"/>
        <w:gridCol w:w="218"/>
        <w:gridCol w:w="218"/>
        <w:gridCol w:w="218"/>
        <w:gridCol w:w="218"/>
        <w:gridCol w:w="218"/>
        <w:gridCol w:w="218"/>
        <w:gridCol w:w="218"/>
        <w:gridCol w:w="218"/>
        <w:gridCol w:w="251"/>
        <w:gridCol w:w="251"/>
        <w:gridCol w:w="251"/>
        <w:gridCol w:w="251"/>
        <w:gridCol w:w="251"/>
        <w:gridCol w:w="251"/>
        <w:gridCol w:w="251"/>
        <w:gridCol w:w="251"/>
        <w:gridCol w:w="357"/>
      </w:tblGrid>
      <w:tr>
        <w:trPr/>
        <w:tc>
          <w:tcPr>
            <w:tcW w:w="24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r>
      <w:tr>
        <w:trPr/>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 May 14, 2026</w:t>
            </w:r>
          </w:p>
        </w:tc>
        <w:tc>
          <w:tcPr>
            <w:tcW w:w="236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Jeffrey Sprau</w:t>
            </w:r>
          </w:p>
        </w:tc>
      </w:tr>
      <w:tr>
        <w:trPr/>
        <w:tc>
          <w:tcPr>
            <w:tcW w:w="199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Jeffrey Sprau</w:t>
            </w:r>
          </w:p>
        </w:tc>
      </w:tr>
      <w:tr>
        <w:trPr/>
        <w:tc>
          <w:tcPr>
            <w:tcW w:w="199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32.2</w:t>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8"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CERTIFICATION PURSUANT TO</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18 U.S.C. SECTION 1350</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AS ADOPTED PURSUANT TO</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SECTION 906 OF THE SARBANES-OXLEY ACT OF 2002</w:t>
      </w:r>
    </w:p>
    <w:p>
      <w:pPr>
        <w:pStyle w:val="TextBody"/>
        <w:bidi w:val="0"/>
        <w:spacing w:lineRule="atLeast" w:line="240" w:before="18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connection with the Quarterly Report on Form 10-Q for the quarter ended March 31, 2026 of Legence Corp. (the “Company”), as filed with the Securities and Exchange Commission on the date hereof (the “Report”), I, Stephen Butz, Chief Financial Officer of the Company, certify, pursuant to 18 U.S.C. Section 1350, as adopted pursuant to Section 906 of the Sarbanes-Oxley Act of 2002, that, to my knowledge:</w:t>
      </w:r>
    </w:p>
    <w:p>
      <w:pPr>
        <w:pStyle w:val="TextBody"/>
        <w:bidi w:val="0"/>
        <w:spacing w:lineRule="auto" w:line="288" w:before="0" w:after="16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(i)The Report fully complies with the requirements of Section 13(a) or 15(d) of the Securities Exchange Act of 1934, as amended; and</w:t>
      </w:r>
    </w:p>
    <w:p>
      <w:pPr>
        <w:pStyle w:val="TextBody"/>
        <w:bidi w:val="0"/>
        <w:spacing w:lineRule="auto" w:line="288" w:before="0" w:after="12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(ii)The information contained in the Report fairly presents, in all material respects, the financial condition and results of operations of the Company.</w:t>
      </w:r>
    </w:p>
    <w:tbl>
      <w:tblPr>
        <w:tblW w:w="4282" w:type="dxa"/>
        <w:jc w:val="left"/>
        <w:tblInd w:w="0" w:type="dxa"/>
        <w:tblLayout w:type="fixed"/>
        <w:tblCellMar>
          <w:top w:w="28" w:type="dxa"/>
          <w:left w:w="28" w:type="dxa"/>
          <w:bottom w:w="28" w:type="dxa"/>
          <w:right w:w="28" w:type="dxa"/>
        </w:tblCellMar>
      </w:tblPr>
      <w:tblGrid>
        <w:gridCol w:w="248"/>
        <w:gridCol w:w="218"/>
        <w:gridCol w:w="218"/>
        <w:gridCol w:w="218"/>
        <w:gridCol w:w="218"/>
        <w:gridCol w:w="218"/>
        <w:gridCol w:w="218"/>
        <w:gridCol w:w="218"/>
        <w:gridCol w:w="218"/>
        <w:gridCol w:w="243"/>
        <w:gridCol w:w="243"/>
        <w:gridCol w:w="243"/>
        <w:gridCol w:w="243"/>
        <w:gridCol w:w="243"/>
        <w:gridCol w:w="243"/>
        <w:gridCol w:w="243"/>
        <w:gridCol w:w="243"/>
        <w:gridCol w:w="346"/>
      </w:tblGrid>
      <w:tr>
        <w:trPr/>
        <w:tc>
          <w:tcPr>
            <w:tcW w:w="24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 May 14, 2026</w:t>
            </w:r>
          </w:p>
        </w:tc>
        <w:tc>
          <w:tcPr>
            <w:tcW w:w="229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Stephen Butz</w:t>
            </w:r>
          </w:p>
        </w:tc>
      </w:tr>
      <w:tr>
        <w:trPr/>
        <w:tc>
          <w:tcPr>
            <w:tcW w:w="199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Stephen Butz</w:t>
            </w:r>
          </w:p>
        </w:tc>
      </w:tr>
      <w:tr>
        <w:trPr/>
        <w:tc>
          <w:tcPr>
            <w:tcW w:w="199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Chief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9"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2052568/000119312525281519/d33982dex21.htm" TargetMode="External"/><Relationship Id="rId3" Type="http://schemas.openxmlformats.org/officeDocument/2006/relationships/hyperlink" Target="https://www.sec.gov/Archives/edgar/data/2052568/000119312525203770/d942093dex31.htm" TargetMode="External"/><Relationship Id="rId4" Type="http://schemas.openxmlformats.org/officeDocument/2006/relationships/hyperlink" Target="https://www.sec.gov/Archives/edgar/data/2052568/000119312525203770/d942093dex31.htm" TargetMode="External"/><Relationship Id="rId5" Type="http://schemas.openxmlformats.org/officeDocument/2006/relationships/hyperlink" Target="https://www.sec.gov/Archives/edgar/data/2052568/000119312525203770/d942093dex31.htm" TargetMode="External"/><Relationship Id="rId6" Type="http://schemas.openxmlformats.org/officeDocument/2006/relationships/hyperlink" Target="https://www.sec.gov/Archives/edgar/data/2052568/000119312525203770/d942093dex31.htm" TargetMode="External"/><Relationship Id="rId7" Type="http://schemas.openxmlformats.org/officeDocument/2006/relationships/hyperlink" Target="https://www.sec.gov/Archives/edgar/data/2052568/000119312525203770/d942093dex31.htm" TargetMode="External"/><Relationship Id="rId8" Type="http://schemas.openxmlformats.org/officeDocument/2006/relationships/hyperlink" Target="https://www.sec.gov/Archives/edgar/data/2052568/000119312525203770/d942093dex31.htm" TargetMode="External"/><Relationship Id="rId9" Type="http://schemas.openxmlformats.org/officeDocument/2006/relationships/hyperlink" Target="https://www.sec.gov/Archives/edgar/data/2052568/000119312525203770/d942093dex31.htm" TargetMode="External"/><Relationship Id="rId10" Type="http://schemas.openxmlformats.org/officeDocument/2006/relationships/hyperlink" Target="https://www.sec.gov/Archives/edgar/data/2052568/000119312525203770/d942093dex31.htm" TargetMode="External"/><Relationship Id="rId11" Type="http://schemas.openxmlformats.org/officeDocument/2006/relationships/hyperlink" Target="https://www.sec.gov/Archives/edgar/data/2052568/000119312525203770/d942093dex31.htm" TargetMode="External"/><Relationship Id="rId12" Type="http://schemas.openxmlformats.org/officeDocument/2006/relationships/hyperlink" Target="https://www.sec.gov/Archives/edgar/data/2052568/000119312525203770/d942093dex31.htm" TargetMode="External"/><Relationship Id="rId13" Type="http://schemas.openxmlformats.org/officeDocument/2006/relationships/hyperlink" Target="https://www.sec.gov/Archives/edgar/data/2052568/000119312525203770/d942093dex31.htm" TargetMode="External"/><Relationship Id="rId14" Type="http://schemas.openxmlformats.org/officeDocument/2006/relationships/hyperlink" Target="https://www.sec.gov/Archives/edgar/data/2052568/000119312525203770/d942093dex31.htm" TargetMode="External"/><Relationship Id="rId15" Type="http://schemas.openxmlformats.org/officeDocument/2006/relationships/hyperlink" Target="https://www.sec.gov/Archives/edgar/data/2052568/000119312525203770/d942093dex32.htm" TargetMode="External"/><Relationship Id="rId16" Type="http://schemas.openxmlformats.org/officeDocument/2006/relationships/hyperlink" Target="https://www.sec.gov/Archives/edgar/data/2052568/000119312525203770/d942093dex32.htm" TargetMode="External"/><Relationship Id="rId17" Type="http://schemas.openxmlformats.org/officeDocument/2006/relationships/hyperlink" Target="https://www.sec.gov/Archives/edgar/data/2052568/000119312525203770/d942093dex32.htm" TargetMode="External"/><Relationship Id="rId18" Type="http://schemas.openxmlformats.org/officeDocument/2006/relationships/hyperlink" Target="https://www.sec.gov/Archives/edgar/data/2052568/000119312525203770/d942093dex32.htm" TargetMode="External"/><Relationship Id="rId19" Type="http://schemas.openxmlformats.org/officeDocument/2006/relationships/hyperlink" Target="https://www.sec.gov/Archives/edgar/data/2052568/000119312525203770/d942093dex32.htm" TargetMode="External"/><Relationship Id="rId20" Type="http://schemas.openxmlformats.org/officeDocument/2006/relationships/hyperlink" Target="https://www.sec.gov/Archives/edgar/data/2052568/000119312525203770/d942093dex101.htm" TargetMode="External"/><Relationship Id="rId21" Type="http://schemas.openxmlformats.org/officeDocument/2006/relationships/hyperlink" Target="https://www.sec.gov/Archives/edgar/data/2052568/000119312526001069/d80346dex101.htm" TargetMode="External"/><Relationship Id="rId22" Type="http://schemas.openxmlformats.org/officeDocument/2006/relationships/hyperlink" Target="https://www.sec.gov/Archives/edgar/data/2052568/000205256826000008/lgn-ex1014fy25am13tocredit.htm" TargetMode="External"/><Relationship Id="rId23" Type="http://schemas.openxmlformats.org/officeDocument/2006/relationships/hyperlink" Target="https://www.sec.gov/Archives/edgar/data/2052568/000205256826000008/lgn-ex1014fy25am13tocredit.htm" TargetMode="External"/><Relationship Id="rId24" Type="http://schemas.openxmlformats.org/officeDocument/2006/relationships/hyperlink" Target="https://www.sec.gov/Archives/edgar/data/2052568/000205256826000008/lgn-ex1014fy25am13tocredit.htm" TargetMode="External"/><Relationship Id="rId25" Type="http://schemas.openxmlformats.org/officeDocument/2006/relationships/hyperlink" Target="https://www.sec.gov/Archives/edgar/data/2052568/000205256826000008/lgn-ex1014fy25am13tocredit.htm" TargetMode="External"/><Relationship Id="rId26" Type="http://schemas.openxmlformats.org/officeDocument/2006/relationships/hyperlink" Target="https://www.sec.gov/Archives/edgar/data/2052568/000205256826000008/lgn-ex1014fy25am13tocredit.htm" TargetMode="External"/><Relationship Id="rId27" Type="http://schemas.openxmlformats.org/officeDocument/2006/relationships/hyperlink" Target="https://www.sec.gov/Archives/edgar/data/2052568/000205256826000008/lgn-ex1014fy25am13tocredit.htm" TargetMode="External"/><Relationship Id="rId28" Type="http://schemas.openxmlformats.org/officeDocument/2006/relationships/hyperlink" Target="https://www.sec.gov/Archives/edgar/data/2052568/000205256826000008/lgn-ex1014fy25am13tocredit.htm" TargetMode="External"/><Relationship Id="rId29" Type="http://schemas.openxmlformats.org/officeDocument/2006/relationships/hyperlink" Target="https://www.sec.gov/Archives/edgar/data/2052568/000205256826000008/lgn-ex1014fy25am13tocredit.htm" TargetMode="External"/><Relationship Id="rId30" Type="http://schemas.openxmlformats.org/officeDocument/2006/relationships/hyperlink" Target="https://www.sec.gov/Archives/edgar/data/2052568/000205256826000008/lgn-ex1014fy25am13tocredit.htm" TargetMode="External"/><Relationship Id="rId31" Type="http://schemas.openxmlformats.org/officeDocument/2006/relationships/hyperlink" Target="https://www.sec.gov/Archives/edgar/data/2052568/000205256826000008/lgn-ex1014fy25am13tocredit.htm" TargetMode="External"/><Relationship Id="rId32" Type="http://schemas.openxmlformats.org/officeDocument/2006/relationships/hyperlink" Target="https://www.sec.gov/Archives/edgar/data/2052568/000119312526096494/d102650dex43.htm" TargetMode="External"/><Relationship Id="rId33" Type="http://schemas.openxmlformats.org/officeDocument/2006/relationships/fontTable" Target="fontTable.xml"/><Relationship Id="rId3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60</Pages>
  <Words>49602</Words>
  <Characters>274580</Characters>
  <CharactersWithSpaces>322185</CharactersWithSpaces>
  <Paragraphs>3267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