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5420d8k.htm"/>
      <w:bookmarkStart w:id="1" w:name="ksd17542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Legence Corp.</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4" w:type="dxa"/>
        <w:jc w:val="left"/>
        <w:tblInd w:w="0" w:type="dxa"/>
        <w:tblLayout w:type="fixed"/>
        <w:tblCellMar>
          <w:top w:w="0" w:type="dxa"/>
          <w:left w:w="0" w:type="dxa"/>
          <w:bottom w:w="0" w:type="dxa"/>
          <w:right w:w="0" w:type="dxa"/>
        </w:tblCellMar>
      </w:tblPr>
      <w:tblGrid>
        <w:gridCol w:w="2519"/>
        <w:gridCol w:w="76"/>
        <w:gridCol w:w="1339"/>
        <w:gridCol w:w="60"/>
        <w:gridCol w:w="1370"/>
      </w:tblGrid>
      <w:tr>
        <w:trPr/>
        <w:tc>
          <w:tcPr>
            <w:tcW w:w="25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519"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center"/>
              <w:rPr>
                <w:b/>
              </w:rPr>
            </w:pPr>
            <w:r>
              <w:rPr>
                <w:b/>
              </w:rPr>
              <w:t>001-42838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33-2905250</w:t>
            </w:r>
          </w:p>
        </w:tc>
      </w:tr>
      <w:tr>
        <w:trPr/>
        <w:tc>
          <w:tcPr>
            <w:tcW w:w="251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283"/>
              <w:jc w:val="center"/>
              <w:rPr>
                <w:b/>
              </w:rPr>
            </w:pPr>
            <w:r>
              <w:rPr>
                <w:b/>
              </w:rPr>
              <w:t>1601 Las Plumas Avenue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283"/>
              <w:jc w:val="center"/>
              <w:rPr>
                <w:b/>
              </w:rPr>
            </w:pPr>
            <w:r>
              <w:rPr>
                <w:b/>
              </w:rPr>
              <w:t>San Jose, CA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95133</w:t>
            </w:r>
          </w:p>
        </w:tc>
      </w:tr>
      <w:tr>
        <w:trPr/>
        <w:tc>
          <w:tcPr>
            <w:tcW w:w="3934"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(833) 534-3623</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40" w:type="dxa"/>
        <w:jc w:val="left"/>
        <w:tblInd w:w="0" w:type="dxa"/>
        <w:tblLayout w:type="fixed"/>
        <w:tblCellMar>
          <w:top w:w="0" w:type="dxa"/>
          <w:left w:w="0" w:type="dxa"/>
          <w:bottom w:w="0" w:type="dxa"/>
          <w:right w:w="0" w:type="dxa"/>
        </w:tblCellMar>
      </w:tblPr>
      <w:tblGrid>
        <w:gridCol w:w="4730"/>
        <w:gridCol w:w="60"/>
        <w:gridCol w:w="740"/>
        <w:gridCol w:w="60"/>
        <w:gridCol w:w="3050"/>
      </w:tblGrid>
      <w:tr>
        <w:trPr/>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730" w:type="dxa"/>
            <w:tcBorders/>
            <w:vAlign w:val="center"/>
          </w:tcPr>
          <w:p>
            <w:pPr>
              <w:pStyle w:val="TableContents"/>
              <w:bidi w:val="0"/>
              <w:spacing w:before="0" w:after="283"/>
              <w:jc w:val="center"/>
              <w:rPr/>
            </w:pPr>
            <w:r>
              <w:rPr/>
              <w:t>Class A 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LGN</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13, 2026, Legence Corp. (the “Company”) issued a press release announcing its financial and operating results for the quarter ended June 30, 2026. A copy of the Company’s press release is furnished as Exhibit 99.1 hereto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this Item 2.02, including Exhibit 99.1, shall not be deemed “filed” for any purpose, including for purposes of Section 18 of the Securities Exchange Act of 1934, as amended (the “Exchange Act”), or otherwise be subject to the liabilities of that Section, nor shall it be deemed to be incorporated by reference in any filing of the Company under the Securities Act of 1933, as amended, or the Exchange Act, regardless of the general incorporation language of such filing, except as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5420dex991.htm">
              <w:r>
                <w:rPr>
                  <w:rStyle w:val="InternetLink"/>
                </w:rPr>
                <w:t xml:space="preserve">Press Release, dated August 13, 2026 (furnished solely for purposes of Item 2.02 of this Form 8-K).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93" w:type="dxa"/>
        <w:jc w:val="left"/>
        <w:tblInd w:w="0" w:type="dxa"/>
        <w:tblLayout w:type="fixed"/>
        <w:tblCellMar>
          <w:top w:w="0" w:type="dxa"/>
          <w:left w:w="0" w:type="dxa"/>
          <w:bottom w:w="0" w:type="dxa"/>
          <w:right w:w="0" w:type="dxa"/>
        </w:tblCellMar>
      </w:tblPr>
      <w:tblGrid>
        <w:gridCol w:w="2315"/>
        <w:gridCol w:w="60"/>
        <w:gridCol w:w="23"/>
        <w:gridCol w:w="60"/>
        <w:gridCol w:w="650"/>
        <w:gridCol w:w="60"/>
        <w:gridCol w:w="2225"/>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LEGENCE CORP.</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Butz</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Stephen Butz</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75420dex991.htm"/>
      <w:bookmarkStart w:id="3" w:name="ksd175420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Legence Reports Second Quarter 2026 Financial Results </w:t>
      </w:r>
    </w:p>
    <w:p>
      <w:pPr>
        <w:pStyle w:val="TextBody"/>
        <w:bidi w:val="0"/>
        <w:spacing w:before="120" w:after="0"/>
        <w:jc w:val="center"/>
        <w:rPr>
          <w:rFonts w:ascii="Times New Roman" w:hAnsi="Times New Roman"/>
          <w:sz w:val="20"/>
        </w:rPr>
      </w:pPr>
      <w:r>
        <w:rPr>
          <w:rFonts w:ascii="Times New Roman" w:hAnsi="Times New Roman"/>
          <w:sz w:val="20"/>
        </w:rPr>
        <w:t xml:space="preserve">Record Quarterly Revenues of $1.26 Billion, a 111% Increase from a Year Ago </w:t>
      </w:r>
    </w:p>
    <w:p>
      <w:pPr>
        <w:pStyle w:val="TextBody"/>
        <w:bidi w:val="0"/>
        <w:spacing w:before="120" w:after="0"/>
        <w:jc w:val="center"/>
        <w:rPr>
          <w:rFonts w:ascii="Times New Roman" w:hAnsi="Times New Roman"/>
          <w:sz w:val="20"/>
        </w:rPr>
      </w:pPr>
      <w:r>
        <w:rPr>
          <w:rFonts w:ascii="Times New Roman" w:hAnsi="Times New Roman"/>
          <w:sz w:val="20"/>
        </w:rPr>
        <w:t xml:space="preserve">Excluding Bowers Acquisition, Revenues (non-GAAP) Grew by 60% from a Year Ago1 </w:t>
      </w:r>
    </w:p>
    <w:p>
      <w:pPr>
        <w:pStyle w:val="TextBody"/>
        <w:bidi w:val="0"/>
        <w:spacing w:before="120" w:after="0"/>
        <w:jc w:val="center"/>
        <w:rPr>
          <w:rFonts w:ascii="Times New Roman" w:hAnsi="Times New Roman"/>
          <w:sz w:val="20"/>
        </w:rPr>
      </w:pPr>
      <w:r>
        <w:rPr>
          <w:rFonts w:ascii="Times New Roman" w:hAnsi="Times New Roman"/>
          <w:sz w:val="20"/>
        </w:rPr>
        <w:t xml:space="preserve">Quarterly Adjusted EBITDA (non-GAAP) Increased 114% from Prior Year2 </w:t>
      </w:r>
    </w:p>
    <w:p>
      <w:pPr>
        <w:pStyle w:val="TextBody"/>
        <w:bidi w:val="0"/>
        <w:spacing w:before="120" w:after="0"/>
        <w:jc w:val="center"/>
        <w:rPr>
          <w:rFonts w:ascii="Times New Roman" w:hAnsi="Times New Roman"/>
          <w:sz w:val="20"/>
        </w:rPr>
      </w:pPr>
      <w:r>
        <w:rPr>
          <w:rFonts w:ascii="Times New Roman" w:hAnsi="Times New Roman"/>
          <w:sz w:val="20"/>
        </w:rPr>
        <w:t xml:space="preserve">Record Total Backlog and Awarded Contracts of $5.67 Billion, a 105% Increase from a Year Ago </w:t>
      </w:r>
    </w:p>
    <w:p>
      <w:pPr>
        <w:pStyle w:val="TextBody"/>
        <w:bidi w:val="0"/>
        <w:spacing w:before="120" w:after="0"/>
        <w:jc w:val="center"/>
        <w:rPr>
          <w:rFonts w:ascii="Times New Roman" w:hAnsi="Times New Roman"/>
          <w:sz w:val="20"/>
        </w:rPr>
      </w:pPr>
      <w:r>
        <w:rPr>
          <w:rFonts w:ascii="Times New Roman" w:hAnsi="Times New Roman"/>
          <w:sz w:val="20"/>
        </w:rPr>
        <w:t xml:space="preserve">Establish Third Quarter 2026 Guidance for Revenue of $1.225 Billion - $1.275 Billion and Non-GAAP Adjusted EBITDA of $150 Million - $160 Million </w:t>
      </w:r>
    </w:p>
    <w:p>
      <w:pPr>
        <w:pStyle w:val="TextBody"/>
        <w:bidi w:val="0"/>
        <w:spacing w:before="120" w:after="0"/>
        <w:jc w:val="center"/>
        <w:rPr>
          <w:rFonts w:ascii="Times New Roman" w:hAnsi="Times New Roman"/>
          <w:sz w:val="20"/>
        </w:rPr>
      </w:pPr>
      <w:r>
        <w:rPr>
          <w:rFonts w:ascii="Times New Roman" w:hAnsi="Times New Roman"/>
          <w:sz w:val="20"/>
        </w:rPr>
        <w:t xml:space="preserve">Raise Full Year 2026 Guidance for Revenue to $4.7 Billion - $4.8 Billion and Non-GAAP Adjusted EBITDA of $565 Million - $585 Million </w:t>
      </w:r>
    </w:p>
    <w:p>
      <w:pPr>
        <w:pStyle w:val="TextBody"/>
        <w:bidi w:val="0"/>
        <w:spacing w:before="240" w:after="0"/>
        <w:jc w:val="left"/>
        <w:rPr>
          <w:rFonts w:ascii="Times New Roman" w:hAnsi="Times New Roman"/>
          <w:sz w:val="20"/>
        </w:rPr>
      </w:pPr>
      <w:r>
        <w:rPr>
          <w:rFonts w:ascii="Times New Roman" w:hAnsi="Times New Roman"/>
          <w:b/>
          <w:sz w:val="20"/>
        </w:rPr>
        <w:t>SAN JOSE, California -</w:t>
      </w:r>
      <w:r>
        <w:rPr>
          <w:rFonts w:ascii="Times New Roman" w:hAnsi="Times New Roman"/>
          <w:sz w:val="20"/>
        </w:rPr>
        <w:t xml:space="preserve"> August 13, 2026 - Legence Corp. (Nasdaq: LGN) (“Legence” or the “Company”) today reported financial results for the second quarter ended June 30, 2026. </w:t>
      </w:r>
    </w:p>
    <w:p>
      <w:pPr>
        <w:pStyle w:val="TextBody"/>
        <w:bidi w:val="0"/>
        <w:spacing w:before="240" w:after="0"/>
        <w:jc w:val="left"/>
        <w:rPr/>
      </w:pPr>
      <w:r>
        <w:rPr/>
        <w:t>“</w:t>
      </w:r>
      <w:r>
        <w:rPr>
          <w:rFonts w:ascii="Times New Roman" w:hAnsi="Times New Roman"/>
          <w:sz w:val="20"/>
        </w:rPr>
        <w:t xml:space="preserve">Strong customer demand led to another record quarter for Legence, with new highs in revenue, Adjusted EBITDA and backlog and awarded contracts,” said Jeff Sprau, Chief Executive Officer of Legence. “Total revenue more than doubled year over year, with revenue growth, excluding the impact of The Bowers Group (“Bowers”) acquisition, of approximately 60%. While the data centers &amp; technology end market continues to be a significant driver of our performance, we are also benefitting from healthy activity across our other diverse end markets, including life sciences &amp; healthcare, state &amp; local government, and education. Our dedicated craftspeople, technicians, and engineering professionals are executing at the highest standards, and we are leveraging the scalability of our growth platform to drive sequential Adjusted EBITDA Margin expansion. As we enter the second half of 2026, healthy industry conditions, combined with our backlog-supported visibility, gives us confidence to raise our revenue and profit outlook for the year.”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impact of approximately $303.8 million of second quarter 2026 revenues from Bowers. Revenue growth (excluding Bowers) is a non-GAAP financial measure. See the section titled “Non-GAAP Financial Measures” for more information.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Definitions of non-GAAP financial measures and reconciliations of each non-GAAP financial measure to the most directly comparable GAAP financial measure are included in the section titled “Non-GAAP Financial Measures.”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2026 Consolidated Results: </w:t>
      </w:r>
    </w:p>
    <w:p>
      <w:pPr>
        <w:pStyle w:val="TextBody"/>
        <w:bidi w:val="0"/>
        <w:spacing w:before="120" w:after="0"/>
        <w:jc w:val="left"/>
        <w:rPr>
          <w:rFonts w:ascii="Times New Roman" w:hAnsi="Times New Roman"/>
          <w:sz w:val="20"/>
        </w:rPr>
      </w:pPr>
      <w:r>
        <w:rPr>
          <w:rFonts w:ascii="Times New Roman" w:hAnsi="Times New Roman"/>
          <w:sz w:val="20"/>
        </w:rPr>
        <w:t xml:space="preserve">Revenues for the second quarter 2026 totaled $1.26 billion, an increase of 110.7% from $598.9 million for the second quarter 2025. Excluding the impact of the Bowers acquisition, non-GAAP revenue growth was 60.0%. Gross profit for the second quarter 2026 was $220.2 million with gross margin of 17.4%, compared to gross profit of $128.7 million and gross margin of 21.5% for the second quarter 2025. Excluding the impact of compensation related to legacy Series A Interests and Restricted Series C Interests paid for by entities outside of Legence, we generated non-GAAP Adjusted Gross Profit of $234.0 million and non-GAAP Adjusted Gross Margin of 18.5% for the second quarter 2026, compared to non-GAAP Adjusted Gross Profit of $130.3 million and non-GAAP Adjusted Gross Margin of 21.8% for the second quarter 2025. The decrease in non-GAAP Adjusted Gross Profit and non-GAAP Adjusted Gross Margin was primarily due to a revenue mix shift towards Installation &amp; Maintenance and a slight decline in Engineering &amp; Consulting Adjusted Gross Margin. Net loss attributable to Legence for the second quarter 2026 was $27.8 million, or $(0.37) per diluted share, compared to a net loss attributable to Legence of $5.3 million for the second quarter 2025. Net loss for the second quarter 2026 was $34.6 million, compared to a net loss of $3.9 million for the second quarter 2025. Non-GAAP Adjusted EBITDA for the second quarter 2026 was $154.6 million, an increase of 114.1% from $72.2 million for the second quarter 2025. Refer to “Non-GAAP Financial Measures” for definitions of revenue growth (excluding Bowers), Adjusted Gross Profit, Adjusted Gross Margin, Adjusted EBITDA and Adjusted EBITDA Margin and a reconciliation of each to the most directly comparable GAAP measure. </w:t>
      </w:r>
    </w:p>
    <w:p>
      <w:pPr>
        <w:pStyle w:val="TextBody"/>
        <w:bidi w:val="0"/>
        <w:spacing w:before="0" w:after="0"/>
        <w:jc w:val="left"/>
        <w:rPr/>
      </w:pPr>
      <w:r>
        <w:rPr/>
        <w:t> </w:t>
      </w:r>
    </w:p>
    <w:tbl>
      <w:tblPr>
        <w:tblW w:w="10210" w:type="dxa"/>
        <w:jc w:val="center"/>
        <w:tblInd w:w="0" w:type="dxa"/>
        <w:tblLayout w:type="fixed"/>
        <w:tblCellMar>
          <w:top w:w="0" w:type="dxa"/>
          <w:left w:w="0" w:type="dxa"/>
          <w:bottom w:w="0" w:type="dxa"/>
          <w:right w:w="0" w:type="dxa"/>
        </w:tblCellMar>
      </w:tblPr>
      <w:tblGrid>
        <w:gridCol w:w="2255"/>
        <w:gridCol w:w="120"/>
        <w:gridCol w:w="140"/>
        <w:gridCol w:w="980"/>
        <w:gridCol w:w="60"/>
        <w:gridCol w:w="120"/>
        <w:gridCol w:w="93"/>
        <w:gridCol w:w="872"/>
        <w:gridCol w:w="275"/>
        <w:gridCol w:w="60"/>
        <w:gridCol w:w="140"/>
        <w:gridCol w:w="800"/>
        <w:gridCol w:w="60"/>
        <w:gridCol w:w="120"/>
        <w:gridCol w:w="93"/>
        <w:gridCol w:w="872"/>
        <w:gridCol w:w="275"/>
        <w:gridCol w:w="60"/>
        <w:gridCol w:w="194"/>
        <w:gridCol w:w="1110"/>
        <w:gridCol w:w="215"/>
        <w:gridCol w:w="83"/>
        <w:gridCol w:w="83"/>
        <w:gridCol w:w="780"/>
        <w:gridCol w:w="350"/>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left"/>
              <w:rPr>
                <w:b/>
              </w:rPr>
            </w:pPr>
            <w:r>
              <w:rPr>
                <w:b/>
              </w:rPr>
              <w:t>Legence Corp. Consolidated Results</w:t>
            </w:r>
          </w:p>
        </w:tc>
        <w:tc>
          <w:tcPr>
            <w:tcW w:w="12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i/>
              </w:rPr>
            </w:pPr>
            <w:r>
              <w:rPr>
                <w:i/>
              </w:rPr>
              <w:t>($ in thousands)</w:t>
            </w:r>
          </w:p>
        </w:tc>
        <w:tc>
          <w:tcPr>
            <w:tcW w:w="120" w:type="dxa"/>
            <w:tcBorders/>
            <w:vAlign w:val="bottom"/>
          </w:tcPr>
          <w:p>
            <w:pPr>
              <w:pStyle w:val="TableContents"/>
              <w:bidi w:val="0"/>
              <w:spacing w:before="0" w:after="283"/>
              <w:jc w:val="left"/>
              <w:rPr/>
            </w:pPr>
            <w:r>
              <w:rPr/>
              <w:t>  </w:t>
            </w:r>
          </w:p>
        </w:tc>
        <w:tc>
          <w:tcPr>
            <w:tcW w:w="468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over Year Change</w:t>
            </w:r>
          </w:p>
        </w:tc>
        <w:tc>
          <w:tcPr>
            <w:tcW w:w="35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35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87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87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Engineering &amp; Consulting</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206,893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196,094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32.7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10,799</w:t>
            </w:r>
          </w:p>
        </w:tc>
        <w:tc>
          <w:tcPr>
            <w:tcW w:w="2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5.5</w:t>
            </w:r>
          </w:p>
        </w:tc>
        <w:tc>
          <w:tcPr>
            <w:tcW w:w="35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Installation &amp; Maintenance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1,055,234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83.6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402,796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67.3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652,438</w:t>
            </w:r>
          </w:p>
        </w:tc>
        <w:tc>
          <w:tcPr>
            <w:tcW w:w="2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162.0</w:t>
            </w:r>
          </w:p>
        </w:tc>
        <w:tc>
          <w:tcPr>
            <w:tcW w:w="350"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Revenues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1,262,127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598,890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663,237</w:t>
            </w:r>
          </w:p>
        </w:tc>
        <w:tc>
          <w:tcPr>
            <w:tcW w:w="2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110.7</w:t>
            </w:r>
          </w:p>
        </w:tc>
        <w:tc>
          <w:tcPr>
            <w:tcW w:w="35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255" w:type="dxa"/>
            <w:tcBorders/>
            <w:vAlign w:val="center"/>
          </w:tcPr>
          <w:p>
            <w:pPr>
              <w:pStyle w:val="TableContents"/>
              <w:bidi w:val="0"/>
              <w:spacing w:before="0" w:after="283"/>
              <w:jc w:val="left"/>
              <w:rPr>
                <w:sz w:val="4"/>
                <w:szCs w:val="4"/>
              </w:rPr>
            </w:pPr>
            <w:r>
              <w:rPr>
                <w:sz w:val="4"/>
                <w:szCs w:val="4"/>
              </w:rPr>
            </w:r>
          </w:p>
        </w:tc>
        <w:tc>
          <w:tcPr>
            <w:tcW w:w="5080" w:type="dxa"/>
            <w:gridSpan w:val="16"/>
            <w:tcBorders/>
            <w:vAlign w:val="center"/>
          </w:tcPr>
          <w:p>
            <w:pPr>
              <w:pStyle w:val="TableContents"/>
              <w:bidi w:val="0"/>
              <w:spacing w:before="0" w:after="283"/>
              <w:jc w:val="left"/>
              <w:rPr>
                <w:sz w:val="4"/>
                <w:szCs w:val="4"/>
              </w:rPr>
            </w:pPr>
            <w:r>
              <w:rPr>
                <w:sz w:val="4"/>
                <w:szCs w:val="4"/>
              </w:rPr>
            </w:r>
          </w:p>
        </w:tc>
        <w:tc>
          <w:tcPr>
            <w:tcW w:w="2875" w:type="dxa"/>
            <w:gridSpan w:val="8"/>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8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over Year Change</w:t>
            </w:r>
          </w:p>
        </w:tc>
        <w:tc>
          <w:tcPr>
            <w:tcW w:w="35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 Margin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 Margin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35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87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87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Engineering &amp; Consulting</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56,148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27.1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64,111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32.7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(7,963</w:t>
            </w:r>
          </w:p>
        </w:tc>
        <w:tc>
          <w:tcPr>
            <w:tcW w:w="2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(12.4</w:t>
            </w:r>
          </w:p>
        </w:tc>
        <w:tc>
          <w:tcPr>
            <w:tcW w:w="35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Installation &amp; Maintenance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164,083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15.5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64,563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16.0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99,520</w:t>
            </w:r>
          </w:p>
        </w:tc>
        <w:tc>
          <w:tcPr>
            <w:tcW w:w="2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154.1</w:t>
            </w:r>
          </w:p>
        </w:tc>
        <w:tc>
          <w:tcPr>
            <w:tcW w:w="350"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87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87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Gross Profit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220,231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17.4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128,674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21.5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91,557</w:t>
            </w:r>
          </w:p>
        </w:tc>
        <w:tc>
          <w:tcPr>
            <w:tcW w:w="2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71.2</w:t>
            </w:r>
          </w:p>
        </w:tc>
        <w:tc>
          <w:tcPr>
            <w:tcW w:w="35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87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87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Adjusted Gross Profit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233,960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18.5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130,330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21.8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103,630</w:t>
            </w:r>
          </w:p>
        </w:tc>
        <w:tc>
          <w:tcPr>
            <w:tcW w:w="2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79.5</w:t>
            </w:r>
          </w:p>
        </w:tc>
        <w:tc>
          <w:tcPr>
            <w:tcW w:w="350"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87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87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Non-GAAP Adjusted EBITDA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154,569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72,204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12.1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82,365</w:t>
            </w:r>
          </w:p>
        </w:tc>
        <w:tc>
          <w:tcPr>
            <w:tcW w:w="2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114.1</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Engineering &amp; Consulting Segment Results: </w:t>
      </w:r>
    </w:p>
    <w:p>
      <w:pPr>
        <w:pStyle w:val="TextBody"/>
        <w:bidi w:val="0"/>
        <w:spacing w:before="120" w:after="0"/>
        <w:jc w:val="left"/>
        <w:rPr>
          <w:rFonts w:ascii="Times New Roman" w:hAnsi="Times New Roman"/>
          <w:sz w:val="20"/>
        </w:rPr>
      </w:pPr>
      <w:r>
        <w:rPr>
          <w:rFonts w:ascii="Times New Roman" w:hAnsi="Times New Roman"/>
          <w:sz w:val="20"/>
        </w:rPr>
        <w:t xml:space="preserve">Engineering &amp; Consulting segment revenue for the second quarter 2026 totaled $206.9 million, an increase of 5.5% from $196.1 million for the second quarter 2025, driven by higher demand for Program &amp; Project Management services primarily from state &amp; local government and data centers &amp; technology clients, partially offset by lower revenue from Engineering &amp; Design services primarily from mixed-use clients. </w:t>
      </w:r>
    </w:p>
    <w:p>
      <w:pPr>
        <w:pStyle w:val="TextBody"/>
        <w:bidi w:val="0"/>
        <w:spacing w:before="240" w:after="0"/>
        <w:jc w:val="left"/>
        <w:rPr>
          <w:rFonts w:ascii="Times New Roman" w:hAnsi="Times New Roman"/>
          <w:sz w:val="20"/>
        </w:rPr>
      </w:pPr>
      <w:r>
        <w:rPr>
          <w:rFonts w:ascii="Times New Roman" w:hAnsi="Times New Roman"/>
          <w:sz w:val="20"/>
        </w:rPr>
        <w:t xml:space="preserve">Engineering &amp; Consulting segment gross profit for the second quarter 2026 totaled $56.1 million, a decrease of 12.4% from $64.1 million for the second quarter 2025. Excluding the impact of compensation related to legacy Series A Interests and Restricted Series C Interests paid for by entities outside of Legence, we generated non-GAAP Adjusted Gross Profit of $64.3 million and non-GAAP Adjusted Gross Margin of 31.1% for the second quarter 2026, compared to non-GAAP Adjusted Gross Profit of $65.1 million and non-GAAP Adjusted Gross Margin of 33.2% for the second quarter 2025. Refer to “Non-GAAP Financial Measures” for definitions of Adjusted Gross Profit and Adjusted Gross Margin and a reconciliation of each to the most directly comparable GAAP measure. The decrease in non-GAAP Adjusted Gross Profit was primarily driven by lower non-GAAP Adjusted Gross Margin, partially offset by higher revenue. The decrease in non-GAAP Adjusted Gross Margin was primarily driven by a revenue mix shift towards the Program &amp; Project Management service line and rising indirect customer fulfillment costs. </w:t>
      </w:r>
    </w:p>
    <w:p>
      <w:pPr>
        <w:pStyle w:val="TextBody"/>
        <w:bidi w:val="0"/>
        <w:spacing w:before="0" w:after="0"/>
        <w:jc w:val="left"/>
        <w:rPr/>
      </w:pPr>
      <w:r>
        <w:rPr/>
        <w:t> </w:t>
      </w:r>
    </w:p>
    <w:tbl>
      <w:tblPr>
        <w:tblW w:w="10465" w:type="dxa"/>
        <w:jc w:val="center"/>
        <w:tblInd w:w="0" w:type="dxa"/>
        <w:tblLayout w:type="fixed"/>
        <w:tblCellMar>
          <w:top w:w="0" w:type="dxa"/>
          <w:left w:w="0" w:type="dxa"/>
          <w:bottom w:w="0" w:type="dxa"/>
          <w:right w:w="0" w:type="dxa"/>
        </w:tblCellMar>
      </w:tblPr>
      <w:tblGrid>
        <w:gridCol w:w="2690"/>
        <w:gridCol w:w="120"/>
        <w:gridCol w:w="140"/>
        <w:gridCol w:w="800"/>
        <w:gridCol w:w="60"/>
        <w:gridCol w:w="120"/>
        <w:gridCol w:w="93"/>
        <w:gridCol w:w="872"/>
        <w:gridCol w:w="275"/>
        <w:gridCol w:w="60"/>
        <w:gridCol w:w="140"/>
        <w:gridCol w:w="800"/>
        <w:gridCol w:w="60"/>
        <w:gridCol w:w="120"/>
        <w:gridCol w:w="93"/>
        <w:gridCol w:w="872"/>
        <w:gridCol w:w="275"/>
        <w:gridCol w:w="60"/>
        <w:gridCol w:w="214"/>
        <w:gridCol w:w="1041"/>
        <w:gridCol w:w="237"/>
        <w:gridCol w:w="91"/>
        <w:gridCol w:w="91"/>
        <w:gridCol w:w="791"/>
        <w:gridCol w:w="350"/>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bottom"/>
          </w:tcPr>
          <w:p>
            <w:pPr>
              <w:pStyle w:val="TableContents"/>
              <w:bidi w:val="0"/>
              <w:spacing w:before="0" w:after="283"/>
              <w:jc w:val="left"/>
              <w:rPr>
                <w:b/>
              </w:rPr>
            </w:pPr>
            <w:r>
              <w:rPr>
                <w:b/>
              </w:rPr>
              <w:t>Engineering &amp; Consulting Segment Results</w:t>
            </w:r>
          </w:p>
        </w:tc>
        <w:tc>
          <w:tcPr>
            <w:tcW w:w="12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5" w:type="dxa"/>
            <w:gridSpan w:val="2"/>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2"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283"/>
              <w:jc w:val="left"/>
              <w:rPr>
                <w:i/>
              </w:rPr>
            </w:pPr>
            <w:r>
              <w:rPr>
                <w:i/>
              </w:rPr>
              <w:t>($ in thousands)</w:t>
            </w:r>
          </w:p>
        </w:tc>
        <w:tc>
          <w:tcPr>
            <w:tcW w:w="120" w:type="dxa"/>
            <w:tcBorders/>
            <w:vAlign w:val="bottom"/>
          </w:tcPr>
          <w:p>
            <w:pPr>
              <w:pStyle w:val="TableContents"/>
              <w:bidi w:val="0"/>
              <w:spacing w:before="0" w:after="283"/>
              <w:jc w:val="left"/>
              <w:rPr/>
            </w:pPr>
            <w:r>
              <w:rPr/>
              <w:t>  </w:t>
            </w:r>
          </w:p>
        </w:tc>
        <w:tc>
          <w:tcPr>
            <w:tcW w:w="450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over Year Change</w:t>
            </w:r>
          </w:p>
        </w:tc>
        <w:tc>
          <w:tcPr>
            <w:tcW w:w="350" w:type="dxa"/>
            <w:tcBorders/>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3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350" w:type="dxa"/>
            <w:tcBorders/>
            <w:vAlign w:val="bottom"/>
          </w:tcPr>
          <w:p>
            <w:pPr>
              <w:pStyle w:val="TableContents"/>
              <w:bidi w:val="0"/>
              <w:spacing w:before="0" w:after="283"/>
              <w:jc w:val="left"/>
              <w:rPr/>
            </w:pPr>
            <w:r>
              <w:rPr/>
              <w:t> </w:t>
            </w:r>
          </w:p>
        </w:tc>
      </w:tr>
      <w:tr>
        <w:trPr/>
        <w:tc>
          <w:tcPr>
            <w:tcW w:w="26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Segment Revenues: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87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87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2690" w:type="dxa"/>
            <w:tcBorders/>
          </w:tcPr>
          <w:p>
            <w:pPr>
              <w:pStyle w:val="TableContents"/>
              <w:bidi w:val="0"/>
              <w:spacing w:before="0" w:after="0"/>
              <w:jc w:val="left"/>
              <w:rPr>
                <w:rFonts w:ascii="Times New Roman" w:hAnsi="Times New Roman"/>
                <w:sz w:val="20"/>
              </w:rPr>
            </w:pPr>
            <w:r>
              <w:rPr>
                <w:rFonts w:ascii="Times New Roman" w:hAnsi="Times New Roman"/>
                <w:sz w:val="20"/>
              </w:rPr>
              <w:t>Engineering &amp; Design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102,348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49.5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106,685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54.4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(4,337</w:t>
            </w:r>
          </w:p>
        </w:tc>
        <w:tc>
          <w:tcPr>
            <w:tcW w:w="23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(4.1</w:t>
            </w:r>
          </w:p>
        </w:tc>
        <w:tc>
          <w:tcPr>
            <w:tcW w:w="350" w:type="dxa"/>
            <w:tcBorders/>
            <w:vAlign w:val="bottom"/>
          </w:tcPr>
          <w:p>
            <w:pPr>
              <w:pStyle w:val="TableContents"/>
              <w:bidi w:val="0"/>
              <w:spacing w:before="0" w:after="283"/>
              <w:jc w:val="left"/>
              <w:rPr/>
            </w:pPr>
            <w:r>
              <w:rPr/>
              <w:t>)% </w:t>
            </w:r>
          </w:p>
        </w:tc>
      </w:tr>
      <w:tr>
        <w:trPr/>
        <w:tc>
          <w:tcPr>
            <w:tcW w:w="2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Program &amp; Project Management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104,545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89,409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45.6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15,136</w:t>
            </w:r>
          </w:p>
        </w:tc>
        <w:tc>
          <w:tcPr>
            <w:tcW w:w="23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16.9</w:t>
            </w:r>
          </w:p>
        </w:tc>
        <w:tc>
          <w:tcPr>
            <w:tcW w:w="350" w:type="dxa"/>
            <w:tcBorders/>
            <w:shd w:fill="CCEEFF" w:val="clear"/>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2690" w:type="dxa"/>
            <w:tcBorders/>
          </w:tcPr>
          <w:p>
            <w:pPr>
              <w:pStyle w:val="TableContents"/>
              <w:bidi w:val="0"/>
              <w:spacing w:before="0" w:after="0"/>
              <w:jc w:val="left"/>
              <w:rPr>
                <w:rFonts w:ascii="Times New Roman" w:hAnsi="Times New Roman"/>
                <w:sz w:val="20"/>
              </w:rPr>
            </w:pPr>
            <w:r>
              <w:rPr>
                <w:rFonts w:ascii="Times New Roman" w:hAnsi="Times New Roman"/>
                <w:sz w:val="20"/>
              </w:rPr>
              <w:t>Engineering &amp; Consulting Revenues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206,893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196,094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10,799</w:t>
            </w:r>
          </w:p>
        </w:tc>
        <w:tc>
          <w:tcPr>
            <w:tcW w:w="23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5.5</w:t>
            </w:r>
          </w:p>
        </w:tc>
        <w:tc>
          <w:tcPr>
            <w:tcW w:w="350" w:type="dxa"/>
            <w:tcBorders/>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690" w:type="dxa"/>
            <w:tcBorders/>
            <w:vAlign w:val="center"/>
          </w:tcPr>
          <w:p>
            <w:pPr>
              <w:pStyle w:val="TableContents"/>
              <w:bidi w:val="0"/>
              <w:spacing w:before="0" w:after="283"/>
              <w:jc w:val="left"/>
              <w:rPr>
                <w:sz w:val="4"/>
                <w:szCs w:val="4"/>
              </w:rPr>
            </w:pPr>
            <w:r>
              <w:rPr>
                <w:sz w:val="4"/>
                <w:szCs w:val="4"/>
              </w:rPr>
            </w:r>
          </w:p>
        </w:tc>
        <w:tc>
          <w:tcPr>
            <w:tcW w:w="4900" w:type="dxa"/>
            <w:gridSpan w:val="16"/>
            <w:tcBorders/>
            <w:vAlign w:val="center"/>
          </w:tcPr>
          <w:p>
            <w:pPr>
              <w:pStyle w:val="TableContents"/>
              <w:bidi w:val="0"/>
              <w:spacing w:before="0" w:after="283"/>
              <w:jc w:val="left"/>
              <w:rPr>
                <w:sz w:val="4"/>
                <w:szCs w:val="4"/>
              </w:rPr>
            </w:pPr>
            <w:r>
              <w:rPr>
                <w:sz w:val="4"/>
                <w:szCs w:val="4"/>
              </w:rPr>
            </w:r>
          </w:p>
        </w:tc>
        <w:tc>
          <w:tcPr>
            <w:tcW w:w="2875" w:type="dxa"/>
            <w:gridSpan w:val="8"/>
            <w:tcBorders/>
            <w:vAlign w:val="center"/>
          </w:tcPr>
          <w:p>
            <w:pPr>
              <w:pStyle w:val="TableContents"/>
              <w:bidi w:val="0"/>
              <w:spacing w:before="0" w:after="283"/>
              <w:jc w:val="left"/>
              <w:rPr>
                <w:sz w:val="4"/>
                <w:szCs w:val="4"/>
              </w:rPr>
            </w:pPr>
            <w:r>
              <w:rPr>
                <w:sz w:val="4"/>
                <w:szCs w:val="4"/>
              </w:rPr>
            </w:r>
          </w:p>
        </w:tc>
      </w:tr>
      <w:tr>
        <w:trPr/>
        <w:tc>
          <w:tcPr>
            <w:tcW w:w="26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0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over Year Change</w:t>
            </w:r>
          </w:p>
        </w:tc>
        <w:tc>
          <w:tcPr>
            <w:tcW w:w="350" w:type="dxa"/>
            <w:tcBorders/>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 Margin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 Margin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3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350" w:type="dxa"/>
            <w:tcBorders/>
            <w:vAlign w:val="bottom"/>
          </w:tcPr>
          <w:p>
            <w:pPr>
              <w:pStyle w:val="TableContents"/>
              <w:bidi w:val="0"/>
              <w:spacing w:before="0" w:after="283"/>
              <w:jc w:val="left"/>
              <w:rPr/>
            </w:pPr>
            <w:r>
              <w:rPr/>
              <w:t> </w:t>
            </w:r>
          </w:p>
        </w:tc>
      </w:tr>
      <w:tr>
        <w:trPr/>
        <w:tc>
          <w:tcPr>
            <w:tcW w:w="26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Engineering &amp; Consulting Gross Profit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56,148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27.1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64,111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32.7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(7,963</w:t>
            </w:r>
          </w:p>
        </w:tc>
        <w:tc>
          <w:tcPr>
            <w:tcW w:w="23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(12.4</w:t>
            </w:r>
          </w:p>
        </w:tc>
        <w:tc>
          <w:tcPr>
            <w:tcW w:w="350" w:type="dxa"/>
            <w:tcBorders/>
            <w:shd w:fill="CCEEFF" w:val="clear"/>
            <w:vAlign w:val="bottom"/>
          </w:tcPr>
          <w:p>
            <w:pPr>
              <w:pStyle w:val="TableContents"/>
              <w:bidi w:val="0"/>
              <w:spacing w:before="0" w:after="283"/>
              <w:jc w:val="left"/>
              <w:rPr/>
            </w:pPr>
            <w:r>
              <w:rPr/>
              <w:t>)% </w:t>
            </w:r>
          </w:p>
        </w:tc>
      </w:tr>
      <w:tr>
        <w:trPr/>
        <w:tc>
          <w:tcPr>
            <w:tcW w:w="2690" w:type="dxa"/>
            <w:tcBorders/>
          </w:tcPr>
          <w:p>
            <w:pPr>
              <w:pStyle w:val="TableContents"/>
              <w:bidi w:val="0"/>
              <w:spacing w:before="0" w:after="0"/>
              <w:jc w:val="left"/>
              <w:rPr>
                <w:rFonts w:ascii="Times New Roman" w:hAnsi="Times New Roman"/>
                <w:b/>
                <w:sz w:val="20"/>
              </w:rPr>
            </w:pPr>
            <w:r>
              <w:rPr>
                <w:rFonts w:ascii="Times New Roman" w:hAnsi="Times New Roman"/>
                <w:b/>
                <w:sz w:val="20"/>
              </w:rPr>
              <w:t>Engineering &amp; Consulting Non-GAAP Adjusted Gross Profit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64,334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31.1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65,088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33.2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(754</w:t>
            </w:r>
          </w:p>
        </w:tc>
        <w:tc>
          <w:tcPr>
            <w:tcW w:w="23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Installation &amp; Maintenance Segment Results: </w:t>
      </w:r>
    </w:p>
    <w:p>
      <w:pPr>
        <w:pStyle w:val="TextBody"/>
        <w:bidi w:val="0"/>
        <w:spacing w:before="120" w:after="0"/>
        <w:jc w:val="left"/>
        <w:rPr>
          <w:rFonts w:ascii="Times New Roman" w:hAnsi="Times New Roman"/>
          <w:sz w:val="20"/>
        </w:rPr>
      </w:pPr>
      <w:r>
        <w:rPr>
          <w:rFonts w:ascii="Times New Roman" w:hAnsi="Times New Roman"/>
          <w:sz w:val="20"/>
        </w:rPr>
        <w:t xml:space="preserve">Installation &amp; Maintenance segment revenue for the second quarter 2026 totaled $1.06 billion, an increase of 162.0% from $402.8 million for the second quarter 2025. Excluding the impact of the Bowers acquisition, non- GAAP Installation &amp; Maintenance segment revenues grew by 86.6% over the comparable periods.3 The increase was driven by strong demand for our Installation &amp; Fabrication services, primarily from data centers &amp; technology clients. The increase in Maintenance &amp; Service revenue was primarily from data centers &amp; technology, education, state &amp; local government and life sciences &amp; healthcare clients. See the section titled “Non-GAAP Financial Measures” for more information about non-GAAP revenue growth (excluding Bowers). </w:t>
      </w:r>
    </w:p>
    <w:p>
      <w:pPr>
        <w:pStyle w:val="TextBody"/>
        <w:bidi w:val="0"/>
        <w:spacing w:before="240" w:after="0"/>
        <w:jc w:val="left"/>
        <w:rPr>
          <w:rFonts w:ascii="Times New Roman" w:hAnsi="Times New Roman"/>
          <w:sz w:val="20"/>
        </w:rPr>
      </w:pPr>
      <w:r>
        <w:rPr>
          <w:rFonts w:ascii="Times New Roman" w:hAnsi="Times New Roman"/>
          <w:sz w:val="20"/>
        </w:rPr>
        <w:t xml:space="preserve">Installation &amp; Maintenance segment gross profit for the second quarter 2026 totaled $164.1 million, an increase of 154.1% from $64.6 million for the second quarter 2025. Excluding the impact of compensation related to legacy Series A Interests and Restricted Series C Interests paid for by entities outside of Legence, we generated non-GAAP Adjusted Gross Profit of $169.6 million and non-GAAP Adjusted Gross Margin of 16.1% for the second quarter 2026, compared to non-GAAP Adjusted Gross Profit of $65.2 million and non-GAAP Adjusted Gross Margin of 16.2% for the second quarter 2025. Refer to “Non-GAAP Financial Measures” for definitions of Adjusted Gross Profit and Adjusted Gross Margin and a reconciliation of each to the most directly comparable GAAP measure. The increase in non-GAAP Adjusted Gross Profit was primarily driven by revenue growth, partially offset by a slight decline in non-GAAP Adjusted Gross Margin. The slight decline in non-GAAP Adjusted Gross Margin was primarily due to an increase in Installation &amp; Fabrication revenue mix, and lower service line margins, largely offset by greater economies of scale in customer fulfillment support costs. </w:t>
      </w:r>
    </w:p>
    <w:p>
      <w:pPr>
        <w:pStyle w:val="TextBody"/>
        <w:bidi w:val="0"/>
        <w:spacing w:before="0" w:after="0"/>
        <w:jc w:val="left"/>
        <w:rPr/>
      </w:pPr>
      <w:r>
        <w:rPr/>
        <w:t> </w:t>
      </w:r>
    </w:p>
    <w:tbl>
      <w:tblPr>
        <w:tblW w:w="10675" w:type="dxa"/>
        <w:jc w:val="center"/>
        <w:tblInd w:w="0" w:type="dxa"/>
        <w:tblLayout w:type="fixed"/>
        <w:tblCellMar>
          <w:top w:w="0" w:type="dxa"/>
          <w:left w:w="0" w:type="dxa"/>
          <w:bottom w:w="0" w:type="dxa"/>
          <w:right w:w="0" w:type="dxa"/>
        </w:tblCellMar>
      </w:tblPr>
      <w:tblGrid>
        <w:gridCol w:w="2795"/>
        <w:gridCol w:w="120"/>
        <w:gridCol w:w="140"/>
        <w:gridCol w:w="980"/>
        <w:gridCol w:w="60"/>
        <w:gridCol w:w="120"/>
        <w:gridCol w:w="93"/>
        <w:gridCol w:w="872"/>
        <w:gridCol w:w="275"/>
        <w:gridCol w:w="60"/>
        <w:gridCol w:w="140"/>
        <w:gridCol w:w="800"/>
        <w:gridCol w:w="60"/>
        <w:gridCol w:w="120"/>
        <w:gridCol w:w="93"/>
        <w:gridCol w:w="872"/>
        <w:gridCol w:w="275"/>
        <w:gridCol w:w="60"/>
        <w:gridCol w:w="198"/>
        <w:gridCol w:w="1133"/>
        <w:gridCol w:w="85"/>
        <w:gridCol w:w="170"/>
        <w:gridCol w:w="85"/>
        <w:gridCol w:w="794"/>
        <w:gridCol w:w="27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bottom"/>
          </w:tcPr>
          <w:p>
            <w:pPr>
              <w:pStyle w:val="TableContents"/>
              <w:bidi w:val="0"/>
              <w:spacing w:before="0" w:after="283"/>
              <w:jc w:val="left"/>
              <w:rPr>
                <w:b/>
              </w:rPr>
            </w:pPr>
            <w:r>
              <w:rPr>
                <w:b/>
              </w:rPr>
              <w:t>Installation &amp; Maintenance Segment Results</w:t>
            </w:r>
          </w:p>
        </w:tc>
        <w:tc>
          <w:tcPr>
            <w:tcW w:w="12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1" w:type="dxa"/>
            <w:gridSpan w:val="2"/>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79"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i/>
              </w:rPr>
            </w:pPr>
            <w:r>
              <w:rPr>
                <w:i/>
              </w:rPr>
              <w:t>($ in thousands)</w:t>
            </w:r>
          </w:p>
        </w:tc>
        <w:tc>
          <w:tcPr>
            <w:tcW w:w="120" w:type="dxa"/>
            <w:tcBorders/>
            <w:vAlign w:val="bottom"/>
          </w:tcPr>
          <w:p>
            <w:pPr>
              <w:pStyle w:val="TableContents"/>
              <w:bidi w:val="0"/>
              <w:spacing w:before="0" w:after="283"/>
              <w:jc w:val="left"/>
              <w:rPr/>
            </w:pPr>
            <w:r>
              <w:rPr/>
              <w:t>  </w:t>
            </w:r>
          </w:p>
        </w:tc>
        <w:tc>
          <w:tcPr>
            <w:tcW w:w="468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over Year Change</w:t>
            </w:r>
          </w:p>
        </w:tc>
        <w:tc>
          <w:tcPr>
            <w:tcW w:w="27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8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75" w:type="dxa"/>
            <w:tcBorders/>
            <w:vAlign w:val="bottom"/>
          </w:tcPr>
          <w:p>
            <w:pPr>
              <w:pStyle w:val="TableContents"/>
              <w:bidi w:val="0"/>
              <w:spacing w:before="0" w:after="283"/>
              <w:jc w:val="left"/>
              <w:rPr/>
            </w:pPr>
            <w:r>
              <w:rPr/>
              <w:t> </w:t>
            </w:r>
          </w:p>
        </w:tc>
      </w:tr>
      <w:tr>
        <w:trPr/>
        <w:tc>
          <w:tcPr>
            <w:tcW w:w="27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Segment Revenues: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87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87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795" w:type="dxa"/>
            <w:tcBorders/>
          </w:tcPr>
          <w:p>
            <w:pPr>
              <w:pStyle w:val="TableContents"/>
              <w:bidi w:val="0"/>
              <w:spacing w:before="0" w:after="0"/>
              <w:jc w:val="left"/>
              <w:rPr>
                <w:rFonts w:ascii="Times New Roman" w:hAnsi="Times New Roman"/>
                <w:sz w:val="20"/>
              </w:rPr>
            </w:pPr>
            <w:r>
              <w:rPr>
                <w:rFonts w:ascii="Times New Roman" w:hAnsi="Times New Roman"/>
                <w:sz w:val="20"/>
              </w:rPr>
              <w:t>Installation &amp; Fabrication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924,884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87.6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320,025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79.5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604,859</w:t>
            </w:r>
          </w:p>
        </w:tc>
        <w:tc>
          <w:tcPr>
            <w:tcW w:w="8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189.0</w:t>
            </w:r>
          </w:p>
        </w:tc>
        <w:tc>
          <w:tcPr>
            <w:tcW w:w="275" w:type="dxa"/>
            <w:tcBorders/>
            <w:vAlign w:val="bottom"/>
          </w:tcPr>
          <w:p>
            <w:pPr>
              <w:pStyle w:val="TableContents"/>
              <w:bidi w:val="0"/>
              <w:spacing w:before="0" w:after="283"/>
              <w:jc w:val="left"/>
              <w:rPr/>
            </w:pPr>
            <w:r>
              <w:rPr/>
              <w:t>% </w:t>
            </w:r>
          </w:p>
        </w:tc>
      </w:tr>
      <w:tr>
        <w:trPr/>
        <w:tc>
          <w:tcPr>
            <w:tcW w:w="27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 &amp; Service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130,350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12.4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82,771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20.5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47,579</w:t>
            </w:r>
          </w:p>
        </w:tc>
        <w:tc>
          <w:tcPr>
            <w:tcW w:w="8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57.5</w:t>
            </w:r>
          </w:p>
        </w:tc>
        <w:tc>
          <w:tcPr>
            <w:tcW w:w="275"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795" w:type="dxa"/>
            <w:tcBorders/>
          </w:tcPr>
          <w:p>
            <w:pPr>
              <w:pStyle w:val="TableContents"/>
              <w:bidi w:val="0"/>
              <w:spacing w:before="0" w:after="0"/>
              <w:jc w:val="left"/>
              <w:rPr>
                <w:rFonts w:ascii="Times New Roman" w:hAnsi="Times New Roman"/>
                <w:sz w:val="20"/>
              </w:rPr>
            </w:pPr>
            <w:r>
              <w:rPr>
                <w:rFonts w:ascii="Times New Roman" w:hAnsi="Times New Roman"/>
                <w:sz w:val="20"/>
              </w:rPr>
              <w:t>Installation &amp; Maintenance Revenues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1,055,234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402,796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652,438</w:t>
            </w:r>
          </w:p>
        </w:tc>
        <w:tc>
          <w:tcPr>
            <w:tcW w:w="8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162.0</w:t>
            </w:r>
          </w:p>
        </w:tc>
        <w:tc>
          <w:tcPr>
            <w:tcW w:w="27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795" w:type="dxa"/>
            <w:tcBorders/>
            <w:vAlign w:val="center"/>
          </w:tcPr>
          <w:p>
            <w:pPr>
              <w:pStyle w:val="TableContents"/>
              <w:bidi w:val="0"/>
              <w:spacing w:before="0" w:after="283"/>
              <w:jc w:val="left"/>
              <w:rPr>
                <w:sz w:val="4"/>
                <w:szCs w:val="4"/>
              </w:rPr>
            </w:pPr>
            <w:r>
              <w:rPr>
                <w:sz w:val="4"/>
                <w:szCs w:val="4"/>
              </w:rPr>
            </w:r>
          </w:p>
        </w:tc>
        <w:tc>
          <w:tcPr>
            <w:tcW w:w="5080" w:type="dxa"/>
            <w:gridSpan w:val="16"/>
            <w:tcBorders/>
            <w:vAlign w:val="center"/>
          </w:tcPr>
          <w:p>
            <w:pPr>
              <w:pStyle w:val="TableContents"/>
              <w:bidi w:val="0"/>
              <w:spacing w:before="0" w:after="283"/>
              <w:jc w:val="left"/>
              <w:rPr>
                <w:sz w:val="4"/>
                <w:szCs w:val="4"/>
              </w:rPr>
            </w:pPr>
            <w:r>
              <w:rPr>
                <w:sz w:val="4"/>
                <w:szCs w:val="4"/>
              </w:rPr>
            </w:r>
          </w:p>
        </w:tc>
        <w:tc>
          <w:tcPr>
            <w:tcW w:w="2800" w:type="dxa"/>
            <w:gridSpan w:val="8"/>
            <w:tcBorders/>
            <w:vAlign w:val="center"/>
          </w:tcPr>
          <w:p>
            <w:pPr>
              <w:pStyle w:val="TableContents"/>
              <w:bidi w:val="0"/>
              <w:spacing w:before="0" w:after="283"/>
              <w:jc w:val="left"/>
              <w:rPr>
                <w:sz w:val="4"/>
                <w:szCs w:val="4"/>
              </w:rPr>
            </w:pPr>
            <w:r>
              <w:rPr>
                <w:sz w:val="4"/>
                <w:szCs w:val="4"/>
              </w:rPr>
            </w:r>
          </w:p>
        </w:tc>
      </w:tr>
      <w:tr>
        <w:trPr/>
        <w:tc>
          <w:tcPr>
            <w:tcW w:w="27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8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over Year Change</w:t>
            </w:r>
          </w:p>
        </w:tc>
        <w:tc>
          <w:tcPr>
            <w:tcW w:w="27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 Margin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 Margin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8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75" w:type="dxa"/>
            <w:tcBorders/>
            <w:vAlign w:val="bottom"/>
          </w:tcPr>
          <w:p>
            <w:pPr>
              <w:pStyle w:val="TableContents"/>
              <w:bidi w:val="0"/>
              <w:spacing w:before="0" w:after="283"/>
              <w:jc w:val="left"/>
              <w:rPr/>
            </w:pPr>
            <w:r>
              <w:rPr/>
              <w:t> </w:t>
            </w:r>
          </w:p>
        </w:tc>
      </w:tr>
      <w:tr>
        <w:trPr/>
        <w:tc>
          <w:tcPr>
            <w:tcW w:w="27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Installation &amp; Maintenance Gross Profit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164,083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15.5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64,563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16.0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99,520</w:t>
            </w:r>
          </w:p>
        </w:tc>
        <w:tc>
          <w:tcPr>
            <w:tcW w:w="8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154.1</w:t>
            </w:r>
          </w:p>
        </w:tc>
        <w:tc>
          <w:tcPr>
            <w:tcW w:w="275" w:type="dxa"/>
            <w:tcBorders/>
            <w:shd w:fill="CCEEFF" w:val="clear"/>
            <w:vAlign w:val="bottom"/>
          </w:tcPr>
          <w:p>
            <w:pPr>
              <w:pStyle w:val="TableContents"/>
              <w:bidi w:val="0"/>
              <w:spacing w:before="0" w:after="283"/>
              <w:jc w:val="left"/>
              <w:rPr/>
            </w:pPr>
            <w:r>
              <w:rPr/>
              <w:t>% </w:t>
            </w:r>
          </w:p>
        </w:tc>
      </w:tr>
      <w:tr>
        <w:trPr/>
        <w:tc>
          <w:tcPr>
            <w:tcW w:w="2795" w:type="dxa"/>
            <w:tcBorders/>
          </w:tcPr>
          <w:p>
            <w:pPr>
              <w:pStyle w:val="TableContents"/>
              <w:bidi w:val="0"/>
              <w:spacing w:before="0" w:after="0"/>
              <w:jc w:val="left"/>
              <w:rPr>
                <w:rFonts w:ascii="Times New Roman" w:hAnsi="Times New Roman"/>
                <w:b/>
                <w:sz w:val="20"/>
              </w:rPr>
            </w:pPr>
            <w:r>
              <w:rPr>
                <w:rFonts w:ascii="Times New Roman" w:hAnsi="Times New Roman"/>
                <w:b/>
                <w:sz w:val="20"/>
              </w:rPr>
              <w:t>Installation &amp; Maintenance Non-GAAP Adjusted Gross Profit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169,626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65,242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16.2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104,384</w:t>
            </w:r>
          </w:p>
        </w:tc>
        <w:tc>
          <w:tcPr>
            <w:tcW w:w="8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160.0</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impact of approximately $303.8 million of second quarter 2026 revenues from Bowers. Revenue growth (excluding Bowers) is a non-GAAP financial measure. See the section titled “Non-GAAP Financial Measures” for more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Backlog and Awarded Contracts and Book-to-Bill Ratio </w:t>
      </w:r>
    </w:p>
    <w:p>
      <w:pPr>
        <w:pStyle w:val="TextBody"/>
        <w:bidi w:val="0"/>
        <w:spacing w:before="120" w:after="0"/>
        <w:jc w:val="left"/>
        <w:rPr>
          <w:rFonts w:ascii="Times New Roman" w:hAnsi="Times New Roman"/>
          <w:sz w:val="20"/>
        </w:rPr>
      </w:pPr>
      <w:r>
        <w:rPr>
          <w:rFonts w:ascii="Times New Roman" w:hAnsi="Times New Roman"/>
          <w:sz w:val="20"/>
        </w:rPr>
        <w:t xml:space="preserve">Backlog and awarded contracts totaled $5.67 billion at June 30, 2026, an increase of 104.6% from $2.77 billion at June 30, 2025. The consolidated book-to-bill ratio for the three-month period ended June 30, 2026 was 1.2x. Engineering &amp; Consulting segment backlog and awarded contracts increased by 26.6% year over year, primarily from growth in the state &amp; local government, education, and life sciences &amp; healthcare end markets. Installation &amp; Maintenance segment backlog and awarded contracts increased by 141.2% year over year, primarily from the acquisition of Bowers and strong growth in the data centers &amp; technology and education end markets.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10"/>
        <w:gridCol w:w="182"/>
        <w:gridCol w:w="140"/>
        <w:gridCol w:w="1014"/>
        <w:gridCol w:w="60"/>
        <w:gridCol w:w="182"/>
        <w:gridCol w:w="140"/>
        <w:gridCol w:w="1014"/>
        <w:gridCol w:w="60"/>
        <w:gridCol w:w="182"/>
        <w:gridCol w:w="187"/>
        <w:gridCol w:w="1315"/>
        <w:gridCol w:w="77"/>
        <w:gridCol w:w="213"/>
        <w:gridCol w:w="77"/>
        <w:gridCol w:w="753"/>
        <w:gridCol w:w="282"/>
      </w:tblGrid>
      <w:tr>
        <w:trPr/>
        <w:tc>
          <w:tcPr>
            <w:tcW w:w="351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510" w:type="dxa"/>
            <w:tcBorders/>
            <w:vAlign w:val="bottom"/>
          </w:tcPr>
          <w:p>
            <w:pPr>
              <w:pStyle w:val="TableContents"/>
              <w:bidi w:val="0"/>
              <w:spacing w:before="0" w:after="283"/>
              <w:jc w:val="left"/>
              <w:rPr>
                <w:b/>
              </w:rPr>
            </w:pPr>
            <w:r>
              <w:rPr>
                <w:b/>
              </w:rPr>
              <w:t>Backlog and Awarded Contracts</w:t>
            </w:r>
          </w:p>
        </w:tc>
        <w:tc>
          <w:tcPr>
            <w:tcW w:w="182" w:type="dxa"/>
            <w:tcBorders/>
            <w:vAlign w:val="bottom"/>
          </w:tcPr>
          <w:p>
            <w:pPr>
              <w:pStyle w:val="TableContents"/>
              <w:bidi w:val="0"/>
              <w:spacing w:before="0" w:after="283"/>
              <w:jc w:val="left"/>
              <w:rPr/>
            </w:pPr>
            <w:r>
              <w:rPr/>
              <w:t>  </w:t>
            </w:r>
          </w:p>
        </w:tc>
        <w:tc>
          <w:tcPr>
            <w:tcW w:w="11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i/>
              </w:rPr>
            </w:pPr>
            <w:r>
              <w:rPr>
                <w:i/>
              </w:rPr>
              <w:t>($ in thousands)</w:t>
            </w:r>
          </w:p>
        </w:tc>
        <w:tc>
          <w:tcPr>
            <w:tcW w:w="182" w:type="dxa"/>
            <w:tcBorders/>
            <w:vAlign w:val="bottom"/>
          </w:tcPr>
          <w:p>
            <w:pPr>
              <w:pStyle w:val="TableContents"/>
              <w:bidi w:val="0"/>
              <w:spacing w:before="0" w:after="283"/>
              <w:jc w:val="left"/>
              <w:rPr/>
            </w:pPr>
            <w:r>
              <w:rPr/>
              <w:t>  </w:t>
            </w:r>
          </w:p>
        </w:tc>
        <w:tc>
          <w:tcPr>
            <w:tcW w:w="11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5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6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over Year Change</w:t>
            </w:r>
          </w:p>
        </w:tc>
        <w:tc>
          <w:tcPr>
            <w:tcW w:w="282"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502"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7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82"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Engineering &amp; Consulting</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1,122,226</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886,217</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315" w:type="dxa"/>
            <w:tcBorders/>
            <w:shd w:fill="CCEEFF" w:val="clear"/>
            <w:vAlign w:val="bottom"/>
          </w:tcPr>
          <w:p>
            <w:pPr>
              <w:pStyle w:val="TableContents"/>
              <w:bidi w:val="0"/>
              <w:spacing w:before="0" w:after="283"/>
              <w:jc w:val="right"/>
              <w:rPr/>
            </w:pPr>
            <w:r>
              <w:rPr/>
              <w:t>236,009</w:t>
            </w:r>
          </w:p>
        </w:tc>
        <w:tc>
          <w:tcPr>
            <w:tcW w:w="7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26.6</w:t>
            </w:r>
          </w:p>
        </w:tc>
        <w:tc>
          <w:tcPr>
            <w:tcW w:w="282"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Times New Roman" w:hAnsi="Times New Roman"/>
                <w:sz w:val="20"/>
              </w:rPr>
            </w:pPr>
            <w:r>
              <w:rPr>
                <w:rFonts w:ascii="Times New Roman" w:hAnsi="Times New Roman"/>
                <w:sz w:val="20"/>
              </w:rPr>
              <w:t>Installation &amp; Maintenance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4,549,573</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1,886,457</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2,663,116</w:t>
            </w:r>
          </w:p>
        </w:tc>
        <w:tc>
          <w:tcPr>
            <w:tcW w:w="7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141.2</w:t>
            </w:r>
          </w:p>
        </w:tc>
        <w:tc>
          <w:tcPr>
            <w:tcW w:w="282"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Backlog and Awarded Contracts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5,671,799</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2,772,674</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315" w:type="dxa"/>
            <w:tcBorders/>
            <w:shd w:fill="CCEEFF" w:val="clear"/>
            <w:vAlign w:val="bottom"/>
          </w:tcPr>
          <w:p>
            <w:pPr>
              <w:pStyle w:val="TableContents"/>
              <w:bidi w:val="0"/>
              <w:spacing w:before="0" w:after="283"/>
              <w:jc w:val="right"/>
              <w:rPr/>
            </w:pPr>
            <w:r>
              <w:rPr/>
              <w:t>2,899,125</w:t>
            </w:r>
          </w:p>
        </w:tc>
        <w:tc>
          <w:tcPr>
            <w:tcW w:w="7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104.6</w:t>
            </w:r>
          </w:p>
        </w:tc>
        <w:tc>
          <w:tcPr>
            <w:tcW w:w="282" w:type="dxa"/>
            <w:tcBorders/>
            <w:shd w:fill="CCEEFF" w:val="clear"/>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510" w:type="dxa"/>
            <w:tcBorders/>
          </w:tcPr>
          <w:p>
            <w:pPr>
              <w:pStyle w:val="TableContents"/>
              <w:bidi w:val="0"/>
              <w:spacing w:before="0" w:after="0"/>
              <w:jc w:val="left"/>
              <w:rPr>
                <w:rFonts w:ascii="Times New Roman" w:hAnsi="Times New Roman"/>
                <w:sz w:val="20"/>
              </w:rPr>
            </w:pPr>
            <w:r>
              <w:rPr>
                <w:rFonts w:ascii="Times New Roman" w:hAnsi="Times New Roman"/>
                <w:sz w:val="20"/>
              </w:rPr>
              <w:t>Book-to-bill ratio for the three months ended</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1.2x</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1.3x</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510" w:type="dxa"/>
            <w:tcBorders/>
          </w:tcPr>
          <w:p>
            <w:pPr>
              <w:pStyle w:val="TableContents"/>
              <w:bidi w:val="0"/>
              <w:spacing w:before="0" w:after="0"/>
              <w:jc w:val="left"/>
              <w:rPr>
                <w:rFonts w:ascii="Times New Roman" w:hAnsi="Times New Roman"/>
                <w:sz w:val="20"/>
              </w:rPr>
            </w:pPr>
            <w:r>
              <w:rPr>
                <w:rFonts w:ascii="Times New Roman" w:hAnsi="Times New Roman"/>
                <w:sz w:val="20"/>
              </w:rPr>
              <w:t>Book-to-bill ratio for the six months ended</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1.2x</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1.3x</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31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At June 30, 2026, the Company had cash and equivalents of approximately $292.0 million and total debt4 of approximately $1.03 billion. As a result, net leverage was 1.6 times, based on non-GAAP Adjusted EBITDA of the Company for the last 12 months ended June 30, 2026 (“Legence LTM adjusted EBITDA”). When including non-GAAP EBITDA of Bowers for the six months ended December 31, 2025 together with Legence LTM adjusted EBITDA, adjusted net leverage was 1.5 times. Refer to “Non-GAAP Financial Measures” for definitions of net leverage and adjusted net leverage and related reconciliations. </w:t>
      </w:r>
    </w:p>
    <w:p>
      <w:pPr>
        <w:pStyle w:val="TextBody"/>
        <w:bidi w:val="0"/>
        <w:spacing w:before="360" w:after="0"/>
        <w:jc w:val="left"/>
        <w:rPr>
          <w:rFonts w:ascii="Times New Roman" w:hAnsi="Times New Roman"/>
          <w:b/>
          <w:sz w:val="20"/>
        </w:rPr>
      </w:pPr>
      <w:r>
        <w:rPr>
          <w:rFonts w:ascii="Times New Roman" w:hAnsi="Times New Roman"/>
          <w:b/>
          <w:sz w:val="20"/>
        </w:rPr>
        <w:t xml:space="preserve">Guidance </w:t>
      </w:r>
    </w:p>
    <w:p>
      <w:pPr>
        <w:pStyle w:val="TextBody"/>
        <w:bidi w:val="0"/>
        <w:spacing w:before="120" w:after="0"/>
        <w:jc w:val="left"/>
        <w:rPr>
          <w:rFonts w:ascii="Times New Roman" w:hAnsi="Times New Roman"/>
          <w:sz w:val="20"/>
        </w:rPr>
      </w:pPr>
      <w:r>
        <w:rPr>
          <w:rFonts w:ascii="Times New Roman" w:hAnsi="Times New Roman"/>
          <w:sz w:val="20"/>
        </w:rPr>
        <w:t xml:space="preserve">Legence announces the following guidance for the third quarter of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revenues of $1.225 billion to $1.275 billion;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Adjusted EBITDA of $150 million to $160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Legence revises guidance for full year 2026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revenues of $4.7 billion to $4.8 billion, up from $4.1 billion to $4.3 billion;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Adjusted EBITDA of $565 million to $585 million, up from $470 million to $490 million.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debt defined as Term Loan balance of $992.8 million and Notes Payable balance of $33.6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Legence will host a webcast and conference call to discuss its financial results on August 13, 2026 at 10:00 a.m. (Eastern Time). The webcast link to the call and the slide presentation to accompany the call remarks can be accessed on the Company’s website at https://investors.wearelegence.com/. A replay of the webcast can be accessed through the same webcast link on the Company’s website shortly after the call and will be available through September 13,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Legence </w:t>
      </w:r>
    </w:p>
    <w:p>
      <w:pPr>
        <w:pStyle w:val="TextBody"/>
        <w:bidi w:val="0"/>
        <w:spacing w:before="120" w:after="0"/>
        <w:jc w:val="left"/>
        <w:rPr>
          <w:rFonts w:ascii="Times New Roman" w:hAnsi="Times New Roman"/>
          <w:sz w:val="20"/>
        </w:rPr>
      </w:pPr>
      <w:r>
        <w:rPr>
          <w:rFonts w:ascii="Times New Roman" w:hAnsi="Times New Roman"/>
          <w:sz w:val="20"/>
        </w:rPr>
        <w:t xml:space="preserve">Legence is a leading provider of engineering, consulting, installation, and maintenance services for mission-critical systems in buildings. The Company specializes in designing, fabricating, and installing complex HVAC, process piping, and other mechanical, electrical and plumbing (MEP) systems—enhancing energy efficiency, reliability, and sustainability in new and existing facilities. Legence also delivers long-term performance through strategic upgrades and holistic solutions. Serving some of the world’s most technically demanding sectors, Legence counts over 60% of the Nasdaq-100 Index among its clients.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Some of the information in this press release may contain “forward-looking statements.” All statements, other than statements of historical fact, included in this press release including, without limitation, those relating to our strategy, future operations, financial position and guidance, estimated revenues and losses, projected costs, prospects, plans and objectives of management, are forward-looking statements. When used in this press release, words such as “anticipate,” “assume,” “believe,” “continue,” “estimate,” “expect,” “intend,” “may,” “could,” “should,” “plan,” “potential,” “predict,” “forecast,” “budget,” “project,” “future,” “will,” “seek,” “foreseeable,” the negative versions of these words and similar expressions are intended to identify forward-looking statements, although not all forward-looking statements contain such identifying words. These forward-looking statements are not historical facts but rather are based on management’s current beliefs, based on currently available information, as to the outcome and timing of future events, and it is possible that the results described in this press release will not be achieved. Such statements are subject to a number of assumptions, risks, uncertainties and other factors, many of which are outside of the Company’s control, that could cause actual results to differ materially from the results discussed in the forward-looking statements, including, but not limited to: changes to economic and regulatory conditions and other trends in the markets in which we operate; our ability to compete effectively in our target markets; the business plans or financial condition of our customers; the impact of acquired companies,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Bowers, on our organization and the ability to recognize the anticipated benefits of such acquisitions; the regulations related to environmental, health and safety matters; the ability to receive necessary government permits and approvals; the future availability and price of materials and equipment necessary for the performance of our business; the risks associated with inflation, interest rates, recessionary economic conditions and commodity prices; the fact that we outsource various elements of the services we sell and use materials and equipment produced by third parties; our clients’ reliance on third party financing; the recognition of all revenues from our backlog and awarded contracts; our receipt of all payments anticipated under awarded projects and customer contracts; the maintenance of safe work sites and equipment; restrictions imposed by our existing and any future indebtedness; our exposure to costs and liabilities under environmental, health and safety laws; misconduct and errors by employees, subcontractors, partners or third party service providers; and the other risks described under the “Risk Factors” and “Management’s Discussion and Analysis of Financial Condition and Results of Operations” sections of the Company’s Annual Report on Form 10-K for the year ended December 31, 2025, filed with the Securities and Exchange Commission (the “SEC”) on March 30, 2026 (the “Annual Report”), and in other documents subsequently filed by the Company from time to time with the SEC. Except as otherwise required by applicable law, we disclaim any duty to update any forward-looking statements, all of which are expressly qualified in their entirety by the statements in this section, to reflect events or circumstances after the date of this press release. New factors emerge from time to time, and it is not possible for the Company to predict all such factors. When considering these forward-looking statements, you should keep in mind the risk factors and other cautionary statements in the Annual Report and in the Company’s subsequent filings with the SEC. You are cautioned not to place undue reliance on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Media: media@wearelegence.com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ir@wearelegence.com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Legence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3"/>
        <w:gridCol w:w="139"/>
        <w:gridCol w:w="188"/>
        <w:gridCol w:w="1324"/>
        <w:gridCol w:w="210"/>
        <w:gridCol w:w="106"/>
        <w:gridCol w:w="188"/>
        <w:gridCol w:w="1087"/>
        <w:gridCol w:w="155"/>
        <w:gridCol w:w="90"/>
        <w:gridCol w:w="140"/>
        <w:gridCol w:w="1004"/>
        <w:gridCol w:w="155"/>
        <w:gridCol w:w="90"/>
        <w:gridCol w:w="140"/>
        <w:gridCol w:w="1005"/>
        <w:gridCol w:w="161"/>
      </w:tblGrid>
      <w:tr>
        <w:trPr/>
        <w:tc>
          <w:tcPr>
            <w:tcW w:w="4023"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2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1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1" w:type="dxa"/>
            <w:tcBorders/>
            <w:vAlign w:val="bottom"/>
          </w:tcPr>
          <w:p>
            <w:pPr>
              <w:pStyle w:val="TableContents"/>
              <w:bidi w:val="0"/>
              <w:spacing w:before="0" w:after="283"/>
              <w:jc w:val="left"/>
              <w:rPr/>
            </w:pPr>
            <w:r>
              <w:rPr/>
              <w:t> </w:t>
            </w:r>
          </w:p>
        </w:tc>
      </w:tr>
      <w:tr>
        <w:trPr/>
        <w:tc>
          <w:tcPr>
            <w:tcW w:w="402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1,262,127</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598,890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2,300,020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1,104,843</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1,041,896</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470,216</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1,893,635</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864,465</w:t>
            </w:r>
          </w:p>
        </w:tc>
        <w:tc>
          <w:tcPr>
            <w:tcW w:w="161" w:type="dxa"/>
            <w:tcBorders/>
            <w:vAlign w:val="bottom"/>
          </w:tcPr>
          <w:p>
            <w:pPr>
              <w:pStyle w:val="TableContents"/>
              <w:bidi w:val="0"/>
              <w:spacing w:before="0" w:after="283"/>
              <w:jc w:val="left"/>
              <w:rPr/>
            </w:pPr>
            <w:r>
              <w:rPr/>
              <w:t> </w:t>
            </w:r>
          </w:p>
        </w:tc>
      </w:tr>
      <w:tr>
        <w:trPr/>
        <w:tc>
          <w:tcPr>
            <w:tcW w:w="402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220,231</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128,674</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406,385</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240,378</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147,591</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72,468</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263,686</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141,927</w:t>
            </w:r>
          </w:p>
        </w:tc>
        <w:tc>
          <w:tcPr>
            <w:tcW w:w="161"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37,972</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25,344</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74,800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51,436</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Acquisition-related costs</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415</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11,847</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176</w:t>
            </w:r>
          </w:p>
        </w:tc>
        <w:tc>
          <w:tcPr>
            <w:tcW w:w="161"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property and equipment</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(118</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(122</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(182</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(220</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21,586</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21,586</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Long-lived asset impairment</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19,491</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19,491</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Equity in earnings of joint venture</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(88</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(364</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(592</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(824</w:t>
            </w:r>
          </w:p>
        </w:tc>
        <w:tc>
          <w:tcPr>
            <w:tcW w:w="161" w:type="dxa"/>
            <w:tcBorders/>
            <w:vAlign w:val="bottom"/>
          </w:tcPr>
          <w:p>
            <w:pPr>
              <w:pStyle w:val="TableContents"/>
              <w:bidi w:val="0"/>
              <w:spacing w:before="0" w:after="283"/>
              <w:jc w:val="left"/>
              <w:rPr/>
            </w:pPr>
            <w:r>
              <w:rPr/>
              <w:t>) </w:t>
            </w:r>
          </w:p>
        </w:tc>
      </w:tr>
      <w:tr>
        <w:trPr/>
        <w:tc>
          <w:tcPr>
            <w:tcW w:w="402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income from operations</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(6,618</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31,329</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15,749</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47,883</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(including $1,567 and $4,169 for the three months in 2026 and 2025, respectively, and $3,247 and $8,465 for the six months in 2026 and 2025, respectively, from related parties)</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16,911</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30,404</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33,911</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60,045</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(1,914</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(764</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(3,234</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(1,519</w:t>
            </w:r>
          </w:p>
        </w:tc>
        <w:tc>
          <w:tcPr>
            <w:tcW w:w="161"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Credit agreement amendment fees</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2,014</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5,257</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2,926</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13</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(169</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(738</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(145</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expense, net</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16,855</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29,652</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35,209</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61,307</w:t>
            </w:r>
          </w:p>
        </w:tc>
        <w:tc>
          <w:tcPr>
            <w:tcW w:w="161" w:type="dxa"/>
            <w:tcBorders/>
            <w:vAlign w:val="bottom"/>
          </w:tcPr>
          <w:p>
            <w:pPr>
              <w:pStyle w:val="TableContents"/>
              <w:bidi w:val="0"/>
              <w:spacing w:before="0" w:after="283"/>
              <w:jc w:val="left"/>
              <w:rPr/>
            </w:pPr>
            <w:r>
              <w:rPr/>
              <w:t> </w:t>
            </w:r>
          </w:p>
        </w:tc>
      </w:tr>
      <w:tr>
        <w:trPr/>
        <w:tc>
          <w:tcPr>
            <w:tcW w:w="402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income before income tax</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(23,473</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1,677</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(19,460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(13,424</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11,091</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5,546</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(2,290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9,584</w:t>
            </w:r>
          </w:p>
        </w:tc>
        <w:tc>
          <w:tcPr>
            <w:tcW w:w="161" w:type="dxa"/>
            <w:tcBorders/>
            <w:vAlign w:val="bottom"/>
          </w:tcPr>
          <w:p>
            <w:pPr>
              <w:pStyle w:val="TableContents"/>
              <w:bidi w:val="0"/>
              <w:spacing w:before="0" w:after="283"/>
              <w:jc w:val="left"/>
              <w:rPr/>
            </w:pPr>
            <w:r>
              <w:rPr/>
              <w:t> </w:t>
            </w:r>
          </w:p>
        </w:tc>
      </w:tr>
      <w:tr>
        <w:trPr/>
        <w:tc>
          <w:tcPr>
            <w:tcW w:w="402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(34,564</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(3,869</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(17,170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(23,008</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attributable to noncontrolling interests</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(6,723</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1,401</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(5,423</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3,475</w:t>
            </w:r>
          </w:p>
        </w:tc>
        <w:tc>
          <w:tcPr>
            <w:tcW w:w="161" w:type="dxa"/>
            <w:tcBorders/>
            <w:vAlign w:val="bottom"/>
          </w:tcPr>
          <w:p>
            <w:pPr>
              <w:pStyle w:val="TableContents"/>
              <w:bidi w:val="0"/>
              <w:spacing w:before="0" w:after="283"/>
              <w:jc w:val="left"/>
              <w:rPr/>
            </w:pPr>
            <w:r>
              <w:rPr/>
              <w:t> </w:t>
            </w:r>
          </w:p>
        </w:tc>
      </w:tr>
      <w:tr>
        <w:trPr/>
        <w:tc>
          <w:tcPr>
            <w:tcW w:w="402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Legence</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(27,841</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(5,270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(11,747</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(26,483</w:t>
            </w:r>
          </w:p>
        </w:tc>
        <w:tc>
          <w:tcPr>
            <w:tcW w:w="161" w:type="dxa"/>
            <w:tcBorders/>
            <w:shd w:fill="CCEEFF" w:val="clear"/>
            <w:vAlign w:val="bottom"/>
          </w:tcPr>
          <w:p>
            <w:pPr>
              <w:pStyle w:val="TableContents"/>
              <w:bidi w:val="0"/>
              <w:spacing w:before="0" w:after="283"/>
              <w:jc w:val="left"/>
              <w:rPr/>
            </w:pPr>
            <w:r>
              <w:rPr/>
              <w:t>) </w:t>
            </w:r>
          </w:p>
        </w:tc>
      </w:tr>
      <w:tr>
        <w:trPr/>
        <w:tc>
          <w:tcPr>
            <w:tcW w:w="402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Loss per share:</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(0.37</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4" w:type="dxa"/>
            <w:tcBorders/>
            <w:shd w:fill="CCEEFF" w:val="clear"/>
            <w:vAlign w:val="bottom"/>
          </w:tcPr>
          <w:p>
            <w:pPr>
              <w:pStyle w:val="TableContents"/>
              <w:bidi w:val="0"/>
              <w:spacing w:before="0" w:after="283"/>
              <w:jc w:val="right"/>
              <w:rPr/>
            </w:pPr>
            <w:r>
              <w:rPr/>
              <w:t>(0.16</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(0.37</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4" w:type="dxa"/>
            <w:tcBorders/>
            <w:vAlign w:val="bottom"/>
          </w:tcPr>
          <w:p>
            <w:pPr>
              <w:pStyle w:val="TableContents"/>
              <w:bidi w:val="0"/>
              <w:spacing w:before="0" w:after="283"/>
              <w:jc w:val="right"/>
              <w:rPr/>
            </w:pPr>
            <w:r>
              <w:rPr/>
              <w:t>(0.23</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Class A Common Stock outstanding:</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3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76,032</w:t>
            </w:r>
          </w:p>
        </w:tc>
        <w:tc>
          <w:tcPr>
            <w:tcW w:w="21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71,616</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3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76,032</w:t>
            </w:r>
          </w:p>
        </w:tc>
        <w:tc>
          <w:tcPr>
            <w:tcW w:w="21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107,976</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Legence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par value and share amounts)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67"/>
        <w:gridCol w:w="282"/>
        <w:gridCol w:w="176"/>
        <w:gridCol w:w="1250"/>
        <w:gridCol w:w="155"/>
        <w:gridCol w:w="237"/>
        <w:gridCol w:w="247"/>
        <w:gridCol w:w="1732"/>
        <w:gridCol w:w="159"/>
      </w:tblGrid>
      <w:tr>
        <w:trPr/>
        <w:tc>
          <w:tcPr>
            <w:tcW w:w="5967"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67"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9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7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67"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7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291,980</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732" w:type="dxa"/>
            <w:tcBorders/>
            <w:shd w:fill="CCEEFF" w:val="clear"/>
            <w:vAlign w:val="bottom"/>
          </w:tcPr>
          <w:p>
            <w:pPr>
              <w:pStyle w:val="TableContents"/>
              <w:bidi w:val="0"/>
              <w:spacing w:before="0" w:after="283"/>
              <w:jc w:val="right"/>
              <w:rPr/>
            </w:pPr>
            <w:r>
              <w:rPr/>
              <w:t>230,166</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918,930</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584,060</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 net</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382,167</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259,941</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55,099</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36,179</w:t>
            </w:r>
          </w:p>
        </w:tc>
        <w:tc>
          <w:tcPr>
            <w:tcW w:w="159" w:type="dxa"/>
            <w:tcBorders/>
            <w:vAlign w:val="bottom"/>
          </w:tcPr>
          <w:p>
            <w:pPr>
              <w:pStyle w:val="TableContents"/>
              <w:bidi w:val="0"/>
              <w:spacing w:before="0" w:after="283"/>
              <w:jc w:val="left"/>
              <w:rPr/>
            </w:pPr>
            <w:r>
              <w:rPr/>
              <w:t> </w:t>
            </w:r>
          </w:p>
        </w:tc>
      </w:tr>
      <w:tr>
        <w:trPr/>
        <w:tc>
          <w:tcPr>
            <w:tcW w:w="596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1,648,176</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1,110,346</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 of $115,490 and $98,650 as of June 30, 2026 and December 31, 2025, respectively</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130,412</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92,333</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(including $18,598 and $20,025 as of June 30, 2026 and December 31, 2025, respectively, from related parties)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153,536</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117,139</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822,521</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764,336</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792,175</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551,420</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192,869</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43,822</w:t>
            </w:r>
          </w:p>
        </w:tc>
        <w:tc>
          <w:tcPr>
            <w:tcW w:w="159" w:type="dxa"/>
            <w:tcBorders/>
            <w:vAlign w:val="bottom"/>
          </w:tcPr>
          <w:p>
            <w:pPr>
              <w:pStyle w:val="TableContents"/>
              <w:bidi w:val="0"/>
              <w:spacing w:before="0" w:after="283"/>
              <w:jc w:val="left"/>
              <w:rPr/>
            </w:pPr>
            <w:r>
              <w:rPr/>
              <w:t> </w:t>
            </w:r>
          </w:p>
        </w:tc>
      </w:tr>
      <w:tr>
        <w:trPr/>
        <w:tc>
          <w:tcPr>
            <w:tcW w:w="596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3,739,689</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732" w:type="dxa"/>
            <w:tcBorders/>
            <w:shd w:fill="CCEEFF" w:val="clear"/>
            <w:vAlign w:val="bottom"/>
          </w:tcPr>
          <w:p>
            <w:pPr>
              <w:pStyle w:val="TableContents"/>
              <w:bidi w:val="0"/>
              <w:spacing w:before="0" w:after="283"/>
              <w:jc w:val="right"/>
              <w:rPr/>
            </w:pPr>
            <w:r>
              <w:rPr/>
              <w:t>2,679,396</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7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7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7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50" w:type="dxa"/>
            <w:tcBorders/>
            <w:vAlign w:val="bottom"/>
          </w:tcPr>
          <w:p>
            <w:pPr>
              <w:pStyle w:val="TableContents"/>
              <w:bidi w:val="0"/>
              <w:spacing w:before="0" w:after="283"/>
              <w:jc w:val="right"/>
              <w:rPr/>
            </w:pPr>
            <w:r>
              <w:rPr/>
              <w:t>428,988</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732" w:type="dxa"/>
            <w:tcBorders/>
            <w:vAlign w:val="bottom"/>
          </w:tcPr>
          <w:p>
            <w:pPr>
              <w:pStyle w:val="TableContents"/>
              <w:bidi w:val="0"/>
              <w:spacing w:before="0" w:after="283"/>
              <w:jc w:val="right"/>
              <w:rPr/>
            </w:pPr>
            <w:r>
              <w:rPr/>
              <w:t>246,161</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139,133</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68,064</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81,405</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16,475</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517,932</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339,462</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 (including $3,889 and $3,920 as of June 30, 2026 and December 31, 2025, respectively, from related parties)</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31,008</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21,300</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26,201</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16,694</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1,224,667</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708,156</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 of current portion (including $97,162 and $84,735 as of June 30, 2026 and December 31, 2025, respectively, from related parties)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1,008,336</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812,398</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 (including $15,759 and $17,282 as of June 30, 2026 and December 31, 2025, respectively, from related parties)</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130,023</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103,762</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receivable agreement liability - related party</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342,729</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207,448</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43,397</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46,714</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12,997</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12,123</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2,762,149</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1,890,601</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7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67"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7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$0.01 par value, 50,000,000 shares authorized, no shares issued or outstanding as of June 30, 2026 and December 31, 2025</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 $0.01 par value, 1,000,000,000 shares authorized, 76,881,291 and 63,856,975 shares issued and outstanding as of June 30, 2026 and December 31, 2025, respectively</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768</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638</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common stock, $0.01 par value, 200,000,000 shares authorized, 31,171,134 and 41,479,954 shares issued and outstanding as of June 30, 2026 and December 31, 2025, respectively</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312</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415</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917,012</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701,791</w:t>
            </w:r>
          </w:p>
        </w:tc>
        <w:tc>
          <w:tcPr>
            <w:tcW w:w="159" w:type="dxa"/>
            <w:tcBorders/>
            <w:vAlign w:val="bottom"/>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(321,696</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(309,949</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4,067</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(698</w:t>
            </w:r>
          </w:p>
        </w:tc>
        <w:tc>
          <w:tcPr>
            <w:tcW w:w="159" w:type="dxa"/>
            <w:tcBorders/>
            <w:vAlign w:val="bottom"/>
          </w:tcPr>
          <w:p>
            <w:pPr>
              <w:pStyle w:val="TableContents"/>
              <w:bidi w:val="0"/>
              <w:spacing w:before="0" w:after="283"/>
              <w:jc w:val="left"/>
              <w:rPr/>
            </w:pPr>
            <w:r>
              <w:rPr/>
              <w:t>) </w:t>
            </w:r>
          </w:p>
        </w:tc>
      </w:tr>
      <w:tr>
        <w:trPr/>
        <w:tc>
          <w:tcPr>
            <w:tcW w:w="596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Legence stockholders’ equity</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600,463</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392,197</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377,077</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396,598</w:t>
            </w:r>
          </w:p>
        </w:tc>
        <w:tc>
          <w:tcPr>
            <w:tcW w:w="159" w:type="dxa"/>
            <w:tcBorders/>
            <w:vAlign w:val="bottom"/>
          </w:tcPr>
          <w:p>
            <w:pPr>
              <w:pStyle w:val="TableContents"/>
              <w:bidi w:val="0"/>
              <w:spacing w:before="0" w:after="283"/>
              <w:jc w:val="left"/>
              <w:rPr/>
            </w:pPr>
            <w:r>
              <w:rPr/>
              <w:t> </w:t>
            </w:r>
          </w:p>
        </w:tc>
      </w:tr>
      <w:tr>
        <w:trPr/>
        <w:tc>
          <w:tcPr>
            <w:tcW w:w="596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28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977,540</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788,795</w:t>
            </w:r>
          </w:p>
        </w:tc>
        <w:tc>
          <w:tcPr>
            <w:tcW w:w="159" w:type="dxa"/>
            <w:tcBorders/>
            <w:shd w:fill="CCEEFF" w:val="clear"/>
            <w:vAlign w:val="bottom"/>
          </w:tcPr>
          <w:p>
            <w:pPr>
              <w:pStyle w:val="TableContents"/>
              <w:bidi w:val="0"/>
              <w:spacing w:before="0" w:after="283"/>
              <w:jc w:val="left"/>
              <w:rPr/>
            </w:pPr>
            <w:r>
              <w:rPr/>
              <w:t> </w:t>
            </w:r>
          </w:p>
        </w:tc>
      </w:tr>
      <w:tr>
        <w:trPr/>
        <w:tc>
          <w:tcPr>
            <w:tcW w:w="596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6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50" w:type="dxa"/>
            <w:tcBorders/>
            <w:vAlign w:val="bottom"/>
          </w:tcPr>
          <w:p>
            <w:pPr>
              <w:pStyle w:val="TableContents"/>
              <w:bidi w:val="0"/>
              <w:spacing w:before="0" w:after="283"/>
              <w:jc w:val="right"/>
              <w:rPr/>
            </w:pPr>
            <w:r>
              <w:rPr/>
              <w:t>3,739,689</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732" w:type="dxa"/>
            <w:tcBorders/>
            <w:vAlign w:val="bottom"/>
          </w:tcPr>
          <w:p>
            <w:pPr>
              <w:pStyle w:val="TableContents"/>
              <w:bidi w:val="0"/>
              <w:spacing w:before="0" w:after="283"/>
              <w:jc w:val="right"/>
              <w:rPr/>
            </w:pPr>
            <w:r>
              <w:rPr/>
              <w:t>2,679,396</w:t>
            </w:r>
          </w:p>
        </w:tc>
        <w:tc>
          <w:tcPr>
            <w:tcW w:w="159" w:type="dxa"/>
            <w:tcBorders/>
            <w:vAlign w:val="bottom"/>
          </w:tcPr>
          <w:p>
            <w:pPr>
              <w:pStyle w:val="TableContents"/>
              <w:bidi w:val="0"/>
              <w:spacing w:before="0" w:after="283"/>
              <w:jc w:val="left"/>
              <w:rPr/>
            </w:pPr>
            <w:r>
              <w:rPr/>
              <w:t> </w:t>
            </w:r>
          </w:p>
        </w:tc>
      </w:tr>
      <w:tr>
        <w:trPr/>
        <w:tc>
          <w:tcPr>
            <w:tcW w:w="596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7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Legence Corp.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57"/>
        <w:gridCol w:w="233"/>
        <w:gridCol w:w="182"/>
        <w:gridCol w:w="1155"/>
        <w:gridCol w:w="201"/>
        <w:gridCol w:w="201"/>
        <w:gridCol w:w="182"/>
        <w:gridCol w:w="1037"/>
        <w:gridCol w:w="157"/>
      </w:tblGrid>
      <w:tr>
        <w:trPr/>
        <w:tc>
          <w:tcPr>
            <w:tcW w:w="6857"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7"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9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7" w:type="dxa"/>
            <w:tcBorders/>
            <w:vAlign w:val="bottom"/>
          </w:tcPr>
          <w:p>
            <w:pPr>
              <w:pStyle w:val="TableContents"/>
              <w:bidi w:val="0"/>
              <w:spacing w:before="0" w:after="283"/>
              <w:jc w:val="left"/>
              <w:rPr/>
            </w:pPr>
            <w:r>
              <w:rPr/>
              <w:t> </w:t>
            </w:r>
          </w:p>
        </w:tc>
      </w:tr>
      <w:tr>
        <w:trPr/>
        <w:tc>
          <w:tcPr>
            <w:tcW w:w="6857"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3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155" w:type="dxa"/>
            <w:tcBorders/>
            <w:vAlign w:val="bottom"/>
          </w:tcPr>
          <w:p>
            <w:pPr>
              <w:pStyle w:val="TableContents"/>
              <w:bidi w:val="0"/>
              <w:spacing w:before="0" w:after="283"/>
              <w:jc w:val="right"/>
              <w:rPr/>
            </w:pPr>
            <w:r>
              <w:rPr/>
              <w:t>(17,170</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(23,008</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cash provided by operating activities: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65,954</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42,237</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property and equipment</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20,512</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15,884</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21,586</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Long-lived asset impairment</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19,491</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 and discounts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859</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2,065</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96,478</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3,241</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 Performance Interests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15,554</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(26,647</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(3,929</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Equity in earnings of joint venture</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(592</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(824</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 lease expense</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14,413</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8,301</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755</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430</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(151,052</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(41,071</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(53,696</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(24,516</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(2,934</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3,887</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105,297</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46,514</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42,716</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21,771</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1,908</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(2,410</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51,421</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20,039</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and long-term</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(12,051</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(6,652</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 and liabilities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1,692</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583</w:t>
            </w:r>
          </w:p>
        </w:tc>
        <w:tc>
          <w:tcPr>
            <w:tcW w:w="157" w:type="dxa"/>
            <w:tcBorders/>
            <w:vAlign w:val="bottom"/>
          </w:tcPr>
          <w:p>
            <w:pPr>
              <w:pStyle w:val="TableContents"/>
              <w:bidi w:val="0"/>
              <w:spacing w:before="0" w:after="283"/>
              <w:jc w:val="left"/>
              <w:rPr/>
            </w:pPr>
            <w:r>
              <w:rPr/>
              <w:t> </w:t>
            </w:r>
          </w:p>
        </w:tc>
      </w:tr>
      <w:tr>
        <w:trPr/>
        <w:tc>
          <w:tcPr>
            <w:tcW w:w="6857"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provided by operating activities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194,494</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62,542</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(41,867</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(14,164</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Consideration paid for acquisitions, net of cash acquired</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(281,293</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(453</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220</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166</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b/>
                <w:sz w:val="20"/>
              </w:rPr>
            </w:pPr>
            <w:r>
              <w:rPr>
                <w:rFonts w:ascii="Times New Roman" w:hAnsi="Times New Roman"/>
                <w:b/>
                <w:sz w:val="20"/>
              </w:rPr>
              <w:t>Cash used in investing activities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(322,940</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(14,451</w:t>
            </w:r>
          </w:p>
        </w:tc>
        <w:tc>
          <w:tcPr>
            <w:tcW w:w="157" w:type="dxa"/>
            <w:tcBorders/>
            <w:vAlign w:val="bottom"/>
          </w:tcPr>
          <w:p>
            <w:pPr>
              <w:pStyle w:val="TableContents"/>
              <w:bidi w:val="0"/>
              <w:spacing w:before="0" w:after="283"/>
              <w:jc w:val="left"/>
              <w:rPr/>
            </w:pPr>
            <w:r>
              <w:rPr/>
              <w:t>) </w:t>
            </w:r>
          </w:p>
        </w:tc>
      </w:tr>
      <w:tr>
        <w:trPr/>
        <w:tc>
          <w:tcPr>
            <w:tcW w:w="6857"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Term loan borrowings (including $15,000 and $2,495 in 2026 and 2025, respectively, from related parties)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200,000</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2,495</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loan payments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(4,983</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(10,714</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Revolver borrowings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25,000</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Revolver payments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(25,000</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payments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(3,273</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(4,354</w:t>
            </w:r>
          </w:p>
        </w:tc>
        <w:tc>
          <w:tcPr>
            <w:tcW w:w="157" w:type="dxa"/>
            <w:tcBorders/>
            <w:vAlign w:val="bottom"/>
          </w:tcPr>
          <w:p>
            <w:pPr>
              <w:pStyle w:val="TableContents"/>
              <w:bidi w:val="0"/>
              <w:spacing w:before="0" w:after="283"/>
              <w:jc w:val="left"/>
              <w:rPr/>
            </w:pPr>
            <w:r>
              <w:rPr/>
              <w:t>) </w:t>
            </w:r>
          </w:p>
        </w:tc>
      </w:tr>
      <w:tr>
        <w:trPr/>
        <w:tc>
          <w:tcPr>
            <w:tcW w:w="6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payments</w:t>
            </w:r>
          </w:p>
        </w:tc>
        <w:tc>
          <w:tcPr>
            <w:tcW w:w="23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(2,855</w:t>
            </w:r>
          </w:p>
        </w:tc>
        <w:tc>
          <w:tcPr>
            <w:tcW w:w="20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(1,813</w:t>
            </w:r>
          </w:p>
        </w:tc>
        <w:tc>
          <w:tcPr>
            <w:tcW w:w="157" w:type="dxa"/>
            <w:tcBorders/>
            <w:shd w:fill="CCEEFF" w:val="clear"/>
            <w:vAlign w:val="bottom"/>
          </w:tcPr>
          <w:p>
            <w:pPr>
              <w:pStyle w:val="TableContents"/>
              <w:bidi w:val="0"/>
              <w:spacing w:before="0" w:after="283"/>
              <w:jc w:val="left"/>
              <w:rPr/>
            </w:pPr>
            <w:r>
              <w:rPr/>
              <w:t>) </w:t>
            </w:r>
          </w:p>
        </w:tc>
      </w:tr>
      <w:tr>
        <w:trPr/>
        <w:tc>
          <w:tcPr>
            <w:tcW w:w="6857"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deferred offering costs</w:t>
            </w:r>
          </w:p>
        </w:tc>
        <w:tc>
          <w:tcPr>
            <w:tcW w:w="23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(60</w:t>
            </w:r>
          </w:p>
        </w:tc>
        <w:tc>
          <w:tcPr>
            <w:tcW w:w="20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(16,973</w:t>
            </w:r>
          </w:p>
        </w:tc>
        <w:tc>
          <w:tcPr>
            <w:tcW w:w="15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Legence Corp.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12"/>
        <w:gridCol w:w="149"/>
        <w:gridCol w:w="140"/>
        <w:gridCol w:w="1073"/>
        <w:gridCol w:w="60"/>
        <w:gridCol w:w="149"/>
        <w:gridCol w:w="140"/>
        <w:gridCol w:w="924"/>
        <w:gridCol w:w="158"/>
      </w:tblGrid>
      <w:tr>
        <w:trPr/>
        <w:tc>
          <w:tcPr>
            <w:tcW w:w="741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1,431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412"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provided by (used in) financing activities</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190,260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(31,359</w:t>
            </w:r>
          </w:p>
        </w:tc>
        <w:tc>
          <w:tcPr>
            <w:tcW w:w="158" w:type="dxa"/>
            <w:tcBorders/>
            <w:vAlign w:val="bottom"/>
          </w:tcPr>
          <w:p>
            <w:pPr>
              <w:pStyle w:val="TableContents"/>
              <w:bidi w:val="0"/>
              <w:spacing w:before="0" w:after="283"/>
              <w:jc w:val="left"/>
              <w:rPr/>
            </w:pPr>
            <w:r>
              <w:rPr/>
              <w:t>) </w:t>
            </w:r>
          </w:p>
        </w:tc>
      </w:tr>
      <w:tr>
        <w:trPr/>
        <w:tc>
          <w:tcPr>
            <w:tcW w:w="7412"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Increase in cash and cash equivalents</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61,814</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16,732</w:t>
            </w:r>
          </w:p>
        </w:tc>
        <w:tc>
          <w:tcPr>
            <w:tcW w:w="158" w:type="dxa"/>
            <w:tcBorders/>
            <w:shd w:fill="CCEEFF" w:val="clear"/>
            <w:vAlign w:val="bottom"/>
          </w:tcPr>
          <w:p>
            <w:pPr>
              <w:pStyle w:val="TableContents"/>
              <w:bidi w:val="0"/>
              <w:spacing w:before="0" w:after="283"/>
              <w:jc w:val="left"/>
              <w:rPr/>
            </w:pPr>
            <w:r>
              <w:rPr/>
              <w:t> </w:t>
            </w:r>
          </w:p>
        </w:tc>
      </w:tr>
      <w:tr>
        <w:trPr/>
        <w:tc>
          <w:tcPr>
            <w:tcW w:w="741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beginning of period</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230,166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81,167</w:t>
            </w:r>
          </w:p>
        </w:tc>
        <w:tc>
          <w:tcPr>
            <w:tcW w:w="158" w:type="dxa"/>
            <w:tcBorders/>
            <w:vAlign w:val="bottom"/>
          </w:tcPr>
          <w:p>
            <w:pPr>
              <w:pStyle w:val="TableContents"/>
              <w:bidi w:val="0"/>
              <w:spacing w:before="0" w:after="283"/>
              <w:jc w:val="left"/>
              <w:rPr/>
            </w:pPr>
            <w:r>
              <w:rPr/>
              <w:t> </w:t>
            </w:r>
          </w:p>
        </w:tc>
      </w:tr>
      <w:tr>
        <w:trPr/>
        <w:tc>
          <w:tcPr>
            <w:tcW w:w="7412"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period</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 </w:t>
            </w:r>
            <w:r>
              <w:rPr/>
              <w:t>291,980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 </w:t>
            </w:r>
            <w:r>
              <w:rPr/>
              <w:t>97,899</w:t>
            </w:r>
          </w:p>
        </w:tc>
        <w:tc>
          <w:tcPr>
            <w:tcW w:w="158" w:type="dxa"/>
            <w:tcBorders/>
            <w:shd w:fill="CCEEFF" w:val="clear"/>
            <w:vAlign w:val="bottom"/>
          </w:tcPr>
          <w:p>
            <w:pPr>
              <w:pStyle w:val="TableContents"/>
              <w:bidi w:val="0"/>
              <w:spacing w:before="0" w:after="283"/>
              <w:jc w:val="left"/>
              <w:rPr/>
            </w:pPr>
            <w:r>
              <w:rPr/>
              <w:t> </w:t>
            </w:r>
          </w:p>
        </w:tc>
      </w:tr>
      <w:tr>
        <w:trPr/>
        <w:tc>
          <w:tcPr>
            <w:tcW w:w="7412"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disclosing financial results calculated in accordance with U.S. generally accepted accounting principles (“GAAP”), this press release contains non-GAAP financial measures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Our non-GAAP financial measures may not be comparable to similarly titled measures used by other companies, have limitations as analytical tools and should not be considered in isolation, or as substitutes for analysis of our operating results as reported under GAAP. Additionally, we do not consider our non-GAAP financial measures superior to, or a substitute for, the equivalent measures calculated and presented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press release includes certain projections of the non-GAAP financial measure Adjusted EBITDA. Due to the high variability and difficulty in making accurate forecasts and projections of some of the information excluded from these projected measures, together with some of the excluded information not being ascertainable or accessible, the Company is unable to quantify certain amounts that would be required to be included in the most directly comparable GAAP financial measures without unreasonable effort. Consequently, no disclosure of estimated comparable GAAP measures is included and no reconciliations of the forward-looking non-GAAP financial measures are included. </w:t>
      </w:r>
    </w:p>
    <w:p>
      <w:pPr>
        <w:pStyle w:val="TextBody"/>
        <w:bidi w:val="0"/>
        <w:spacing w:before="360" w:after="0"/>
        <w:jc w:val="left"/>
        <w:rPr>
          <w:rFonts w:ascii="Times New Roman" w:hAnsi="Times New Roman"/>
          <w:b/>
          <w:sz w:val="20"/>
        </w:rPr>
      </w:pPr>
      <w:r>
        <w:rPr>
          <w:rFonts w:ascii="Times New Roman" w:hAnsi="Times New Roman"/>
          <w:b/>
          <w:sz w:val="20"/>
        </w:rPr>
        <w:t xml:space="preserve">Revenue Growth (excluding Bowers)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discloses consolidated revenue growth of Legence of 60.0%, and revenue growth of Legence’s Installation &amp; Maintenance segment of 86.6%, for the quarter ended June 30, 2026, compared to the quarter ended June 30, 2025, the calculation of which, in each case, excludes the impact of approximately $303.8 million of second quarter 2026 revenues from Bowers. Such metrics are not calculated in accordance with GAAP. Management believes such metrics provide investors with useful supplemental information regarding the Company’s organic revenue performance by presenting revenue growth without giving effect to the impact of the Bowers acquisition. As calculated in accordance with GAAP, revenue growth of Legence was 110.7% (based on second quarter 2026 and 2025 consolidated revenues of $1.26 billion and $598.9 million, respectively), and revenue growth of Legence’s Installation &amp; Maintenance segment was 162.0% (based on second quarter 2026 and 2025 I&amp;M segment revenues of $1.06 billion and $402.8 million, respectively), for the quarter ended June 30, 2026 compared to the quarter ended June 30, 2025. </w:t>
      </w:r>
    </w:p>
    <w:p>
      <w:pPr>
        <w:pStyle w:val="TextBody"/>
        <w:bidi w:val="0"/>
        <w:spacing w:before="360" w:after="0"/>
        <w:jc w:val="left"/>
        <w:rPr>
          <w:rFonts w:ascii="Times New Roman" w:hAnsi="Times New Roman"/>
          <w:b/>
          <w:sz w:val="20"/>
        </w:rPr>
      </w:pPr>
      <w:r>
        <w:rPr>
          <w:rFonts w:ascii="Times New Roman" w:hAnsi="Times New Roman"/>
          <w:b/>
          <w:sz w:val="20"/>
        </w:rPr>
        <w:t xml:space="preserve">Adjusted EBITDA and Adjusted EBITDA Margin; Net Leverage and Adjusted Net Leverage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and Adjusted EBITDA Margin are financial measures not presented in accordance with GAAP but are intended to provide useful and supplemental information to investors and analysts as they evaluate our performance. Adjusted EBITDA is defined as net loss adjusted to exclude, or otherwise reflect, interest expense, interest income, income tax expense (benefit), depreciation and amortization, credit agreement amendment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goodwill impairment, long-lived asset impairment, net gain on sale and disposition of property and equipment, loss on debt extinguishment, acquisition and integration costs, system deployment costs, strategic initiative costs, indemnification asset adjustments, Tax Receivable Agreement liability remeasurements and stock-based and other non-cash compensation expense (benefit). Adjusted EBITDA Margin is defined as Adjusted EBITDA divided by revenue. Adjusted EBITDA and Adjusted EBITDA Margin should not be considered alternatives to net loss or net loss margin, respectively, as determined in accordance with GAAP. Management believes that the exclusion of the above-described items from net loss in the presentation of the non-GAAP measures identified above enables us and our investors to more effectively evaluate our operations period over period and to identify operating trends that might not be apparent due to, among other reasons, the variable nature of these items, both in value and frequency, period over period. In addition, management believes these measures may be useful for investors in comparing our operating results with those of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Net leverage is defined as net debt of Legence divided by Adjusted EBITDA of Legence, and adjusted net leverage is defined as net debt of Legence divided by LTM combined adjusted EBITDA. Net debt includes total balance sheet debt, excluding finance lease liabilities, less cash and cash equivalents. LTM combined adjusted EBITDA is the sum of (1) adjusted EBITDA of Legence for the 12-month period ended June 30, 2026 (or “Legence LTM adjusted EBITDA”) and (2) EBITDA of Bowers for the six month period ended December 31, 2025 (“Bowers EBITDA”), which is based, in part, on certain unaudited financial information of Bowers for the three months ended December 31, 2025 and audited financial information of Bowers for the year ended September 30, 2025. Bowers EBITDA is defined as net income, plus depreciation and amortization, interest income and income tax expense. The Company believes these non-GAAP measures are useful to investors as they provide alternative information that management believes to be useful in assessing (including, in the case of adjusted net leverage, on a combined basis giving effect to the Bowers acquisition) our ability to meet our payment obligations in addition to considering the absolute amount of our debt.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reconciliation (the “Legence adjusted EBITDA Reconciliation”) of our net loss, the most directly comparable financial measure presented in accordance with GAAP, to Adjusted EBITDA, and a calculation of Adjusted EBITDA Margin for the periods indicated (in thousands):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09"/>
        <w:gridCol w:w="136"/>
        <w:gridCol w:w="140"/>
        <w:gridCol w:w="810"/>
        <w:gridCol w:w="351"/>
        <w:gridCol w:w="78"/>
        <w:gridCol w:w="140"/>
        <w:gridCol w:w="683"/>
        <w:gridCol w:w="351"/>
        <w:gridCol w:w="78"/>
        <w:gridCol w:w="140"/>
        <w:gridCol w:w="800"/>
        <w:gridCol w:w="351"/>
        <w:gridCol w:w="78"/>
        <w:gridCol w:w="140"/>
        <w:gridCol w:w="800"/>
        <w:gridCol w:w="351"/>
        <w:gridCol w:w="77"/>
        <w:gridCol w:w="157"/>
        <w:gridCol w:w="906"/>
        <w:gridCol w:w="351"/>
        <w:gridCol w:w="78"/>
        <w:gridCol w:w="140"/>
        <w:gridCol w:w="800"/>
        <w:gridCol w:w="360"/>
      </w:tblGrid>
      <w:tr>
        <w:trPr/>
        <w:tc>
          <w:tcPr>
            <w:tcW w:w="190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909"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23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w:t>
            </w:r>
            <w:r>
              <w:rPr/>
              <w:br/>
            </w:r>
            <w:r>
              <w:rPr>
                <w:b/>
              </w:rPr>
              <w:t>31,</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Twelve</w:t>
              <w:br/>
              <w:t>Months</w:t>
              <w:br/>
              <w:t>Ended</w:t>
              <w:br/>
              <w:t>June 30,</w:t>
            </w:r>
          </w:p>
        </w:tc>
        <w:tc>
          <w:tcPr>
            <w:tcW w:w="360" w:type="dxa"/>
            <w:tcBorders/>
            <w:vAlign w:val="bottom"/>
          </w:tcPr>
          <w:p>
            <w:pPr>
              <w:pStyle w:val="TableContents"/>
              <w:bidi w:val="0"/>
              <w:spacing w:before="0" w:after="283"/>
              <w:jc w:val="left"/>
              <w:rPr/>
            </w:pPr>
            <w:r>
              <w:rPr/>
              <w:t> </w:t>
            </w:r>
          </w:p>
        </w:tc>
      </w:tr>
      <w:tr>
        <w:trPr/>
        <w:tc>
          <w:tcPr>
            <w:tcW w:w="1909"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60" w:type="dxa"/>
            <w:tcBorders/>
            <w:vAlign w:val="bottom"/>
          </w:tcPr>
          <w:p>
            <w:pPr>
              <w:pStyle w:val="TableContents"/>
              <w:bidi w:val="0"/>
              <w:spacing w:before="0" w:after="283"/>
              <w:jc w:val="left"/>
              <w:rPr/>
            </w:pPr>
            <w:r>
              <w:rPr/>
              <w:t> </w:t>
            </w:r>
          </w:p>
        </w:tc>
      </w:tr>
      <w:tr>
        <w:trPr/>
        <w:tc>
          <w:tcPr>
            <w:tcW w:w="1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(34,564</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(3,869</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(17,170</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(23,008</w:t>
            </w:r>
          </w:p>
        </w:tc>
        <w:tc>
          <w:tcPr>
            <w:tcW w:w="35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(77,303</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(71,465</w:t>
            </w:r>
          </w:p>
        </w:tc>
        <w:tc>
          <w:tcPr>
            <w:tcW w:w="360" w:type="dxa"/>
            <w:tcBorders/>
            <w:shd w:fill="CCEEFF" w:val="clear"/>
            <w:vAlign w:val="bottom"/>
          </w:tcPr>
          <w:p>
            <w:pPr>
              <w:pStyle w:val="TableContents"/>
              <w:bidi w:val="0"/>
              <w:spacing w:before="0" w:after="283"/>
              <w:jc w:val="left"/>
              <w:rPr/>
            </w:pPr>
            <w:r>
              <w:rPr/>
              <w:t>) </w:t>
            </w:r>
          </w:p>
        </w:tc>
      </w:tr>
      <w:tr>
        <w:trPr/>
        <w:tc>
          <w:tcPr>
            <w:tcW w:w="190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16,911</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30,404</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33,911</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60,045</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101,778</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75,644</w:t>
            </w:r>
          </w:p>
        </w:tc>
        <w:tc>
          <w:tcPr>
            <w:tcW w:w="360" w:type="dxa"/>
            <w:tcBorders/>
            <w:vAlign w:val="bottom"/>
          </w:tcPr>
          <w:p>
            <w:pPr>
              <w:pStyle w:val="TableContents"/>
              <w:bidi w:val="0"/>
              <w:spacing w:before="0" w:after="283"/>
              <w:jc w:val="left"/>
              <w:rPr/>
            </w:pPr>
            <w:r>
              <w:rPr/>
              <w:t> </w:t>
            </w:r>
          </w:p>
        </w:tc>
      </w:tr>
      <w:tr>
        <w:trPr/>
        <w:tc>
          <w:tcPr>
            <w:tcW w:w="1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(1,914</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(764</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(3,234</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(1,519</w:t>
            </w:r>
          </w:p>
        </w:tc>
        <w:tc>
          <w:tcPr>
            <w:tcW w:w="35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(4,488</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(6,203</w:t>
            </w:r>
          </w:p>
        </w:tc>
        <w:tc>
          <w:tcPr>
            <w:tcW w:w="360" w:type="dxa"/>
            <w:tcBorders/>
            <w:shd w:fill="CCEEFF" w:val="clear"/>
            <w:vAlign w:val="bottom"/>
          </w:tcPr>
          <w:p>
            <w:pPr>
              <w:pStyle w:val="TableContents"/>
              <w:bidi w:val="0"/>
              <w:spacing w:before="0" w:after="283"/>
              <w:jc w:val="left"/>
              <w:rPr/>
            </w:pPr>
            <w:r>
              <w:rPr/>
              <w:t>) </w:t>
            </w:r>
          </w:p>
        </w:tc>
      </w:tr>
      <w:tr>
        <w:trPr/>
        <w:tc>
          <w:tcPr>
            <w:tcW w:w="190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11,091</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5,546</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(2,290</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9,584</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22,161</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10,287</w:t>
            </w:r>
          </w:p>
        </w:tc>
        <w:tc>
          <w:tcPr>
            <w:tcW w:w="360" w:type="dxa"/>
            <w:tcBorders/>
            <w:vAlign w:val="bottom"/>
          </w:tcPr>
          <w:p>
            <w:pPr>
              <w:pStyle w:val="TableContents"/>
              <w:bidi w:val="0"/>
              <w:spacing w:before="0" w:after="283"/>
              <w:jc w:val="left"/>
              <w:rPr/>
            </w:pPr>
            <w:r>
              <w:rPr/>
              <w:t> </w:t>
            </w:r>
          </w:p>
        </w:tc>
      </w:tr>
      <w:tr>
        <w:trPr/>
        <w:tc>
          <w:tcPr>
            <w:tcW w:w="1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44,190</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28,770</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86,466</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58,121</w:t>
            </w:r>
          </w:p>
        </w:tc>
        <w:tc>
          <w:tcPr>
            <w:tcW w:w="35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114,288</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142,633</w:t>
            </w:r>
          </w:p>
        </w:tc>
        <w:tc>
          <w:tcPr>
            <w:tcW w:w="360" w:type="dxa"/>
            <w:tcBorders/>
            <w:shd w:fill="CCEEFF" w:val="clear"/>
            <w:vAlign w:val="bottom"/>
          </w:tcPr>
          <w:p>
            <w:pPr>
              <w:pStyle w:val="TableContents"/>
              <w:bidi w:val="0"/>
              <w:spacing w:before="0" w:after="283"/>
              <w:jc w:val="left"/>
              <w:rPr/>
            </w:pPr>
            <w:r>
              <w:rPr/>
              <w:t> </w:t>
            </w:r>
          </w:p>
        </w:tc>
      </w:tr>
      <w:tr>
        <w:trPr/>
        <w:tc>
          <w:tcPr>
            <w:tcW w:w="1909"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 amendment fees(1)</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2,014</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49</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5,257</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2,926</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6,302</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8,633</w:t>
            </w:r>
          </w:p>
        </w:tc>
        <w:tc>
          <w:tcPr>
            <w:tcW w:w="360" w:type="dxa"/>
            <w:tcBorders/>
            <w:vAlign w:val="bottom"/>
          </w:tcPr>
          <w:p>
            <w:pPr>
              <w:pStyle w:val="TableContents"/>
              <w:bidi w:val="0"/>
              <w:spacing w:before="0" w:after="283"/>
              <w:jc w:val="left"/>
              <w:rPr/>
            </w:pPr>
            <w:r>
              <w:rPr/>
              <w:t> </w:t>
            </w:r>
          </w:p>
        </w:tc>
      </w:tr>
      <w:tr>
        <w:trPr/>
        <w:tc>
          <w:tcPr>
            <w:tcW w:w="1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21,586</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21,586</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24,966</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46,552</w:t>
            </w:r>
          </w:p>
        </w:tc>
        <w:tc>
          <w:tcPr>
            <w:tcW w:w="360" w:type="dxa"/>
            <w:tcBorders/>
            <w:shd w:fill="CCEEFF" w:val="clear"/>
            <w:vAlign w:val="bottom"/>
          </w:tcPr>
          <w:p>
            <w:pPr>
              <w:pStyle w:val="TableContents"/>
              <w:bidi w:val="0"/>
              <w:spacing w:before="0" w:after="283"/>
              <w:jc w:val="left"/>
              <w:rPr/>
            </w:pPr>
            <w:r>
              <w:rPr/>
              <w:t> </w:t>
            </w:r>
          </w:p>
        </w:tc>
      </w:tr>
      <w:tr>
        <w:trPr/>
        <w:tc>
          <w:tcPr>
            <w:tcW w:w="1909" w:type="dxa"/>
            <w:tcBorders/>
          </w:tcPr>
          <w:p>
            <w:pPr>
              <w:pStyle w:val="TableContents"/>
              <w:bidi w:val="0"/>
              <w:spacing w:before="0" w:after="0"/>
              <w:jc w:val="left"/>
              <w:rPr>
                <w:rFonts w:ascii="Times New Roman" w:hAnsi="Times New Roman"/>
                <w:sz w:val="20"/>
              </w:rPr>
            </w:pPr>
            <w:r>
              <w:rPr>
                <w:rFonts w:ascii="Times New Roman" w:hAnsi="Times New Roman"/>
                <w:sz w:val="20"/>
              </w:rPr>
              <w:t>Long-lived asset impairment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19,491</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19,491</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2,415</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21,906</w:t>
            </w:r>
          </w:p>
        </w:tc>
        <w:tc>
          <w:tcPr>
            <w:tcW w:w="360" w:type="dxa"/>
            <w:tcBorders/>
            <w:vAlign w:val="bottom"/>
          </w:tcPr>
          <w:p>
            <w:pPr>
              <w:pStyle w:val="TableContents"/>
              <w:bidi w:val="0"/>
              <w:spacing w:before="0" w:after="283"/>
              <w:jc w:val="left"/>
              <w:rPr/>
            </w:pPr>
            <w:r>
              <w:rPr/>
              <w:t> </w:t>
            </w:r>
          </w:p>
        </w:tc>
      </w:tr>
      <w:tr>
        <w:trPr/>
        <w:tc>
          <w:tcPr>
            <w:tcW w:w="1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gain on sale and disposition of property and equipment</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(118</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(122</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(182</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(220</w:t>
            </w:r>
          </w:p>
        </w:tc>
        <w:tc>
          <w:tcPr>
            <w:tcW w:w="35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(326</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(288</w:t>
            </w:r>
          </w:p>
        </w:tc>
        <w:tc>
          <w:tcPr>
            <w:tcW w:w="360" w:type="dxa"/>
            <w:tcBorders/>
            <w:shd w:fill="CCEEFF" w:val="clear"/>
            <w:vAlign w:val="bottom"/>
          </w:tcPr>
          <w:p>
            <w:pPr>
              <w:pStyle w:val="TableContents"/>
              <w:bidi w:val="0"/>
              <w:spacing w:before="0" w:after="283"/>
              <w:jc w:val="left"/>
              <w:rPr/>
            </w:pPr>
            <w:r>
              <w:rPr/>
              <w:t>) </w:t>
            </w:r>
          </w:p>
        </w:tc>
      </w:tr>
      <w:tr>
        <w:trPr/>
        <w:tc>
          <w:tcPr>
            <w:tcW w:w="1909"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13</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6,651</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6,664</w:t>
            </w:r>
          </w:p>
        </w:tc>
        <w:tc>
          <w:tcPr>
            <w:tcW w:w="360" w:type="dxa"/>
            <w:tcBorders/>
            <w:vAlign w:val="bottom"/>
          </w:tcPr>
          <w:p>
            <w:pPr>
              <w:pStyle w:val="TableContents"/>
              <w:bidi w:val="0"/>
              <w:spacing w:before="0" w:after="283"/>
              <w:jc w:val="left"/>
              <w:rPr/>
            </w:pPr>
            <w:r>
              <w:rPr/>
              <w:t> </w:t>
            </w:r>
          </w:p>
        </w:tc>
      </w:tr>
      <w:tr>
        <w:trPr/>
        <w:tc>
          <w:tcPr>
            <w:tcW w:w="1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and integration costs(2)</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420</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298</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12,113</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1,766</w:t>
            </w:r>
          </w:p>
        </w:tc>
        <w:tc>
          <w:tcPr>
            <w:tcW w:w="35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8,436</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18,783</w:t>
            </w:r>
          </w:p>
        </w:tc>
        <w:tc>
          <w:tcPr>
            <w:tcW w:w="360" w:type="dxa"/>
            <w:tcBorders/>
            <w:shd w:fill="CCEEFF" w:val="clear"/>
            <w:vAlign w:val="bottom"/>
          </w:tcPr>
          <w:p>
            <w:pPr>
              <w:pStyle w:val="TableContents"/>
              <w:bidi w:val="0"/>
              <w:spacing w:before="0" w:after="283"/>
              <w:jc w:val="left"/>
              <w:rPr/>
            </w:pPr>
            <w:r>
              <w:rPr/>
              <w:t> </w:t>
            </w:r>
          </w:p>
        </w:tc>
      </w:tr>
      <w:tr>
        <w:trPr/>
        <w:tc>
          <w:tcPr>
            <w:tcW w:w="1909" w:type="dxa"/>
            <w:tcBorders/>
          </w:tcPr>
          <w:p>
            <w:pPr>
              <w:pStyle w:val="TableContents"/>
              <w:bidi w:val="0"/>
              <w:spacing w:before="0" w:after="0"/>
              <w:jc w:val="left"/>
              <w:rPr>
                <w:rFonts w:ascii="Times New Roman" w:hAnsi="Times New Roman"/>
                <w:sz w:val="20"/>
              </w:rPr>
            </w:pPr>
            <w:r>
              <w:rPr>
                <w:rFonts w:ascii="Times New Roman" w:hAnsi="Times New Roman"/>
                <w:sz w:val="20"/>
              </w:rPr>
              <w:t>System deployment costs(3)</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1,034</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2,140</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2,140</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60" w:type="dxa"/>
            <w:tcBorders/>
            <w:vAlign w:val="bottom"/>
          </w:tcPr>
          <w:p>
            <w:pPr>
              <w:pStyle w:val="TableContents"/>
              <w:bidi w:val="0"/>
              <w:spacing w:before="0" w:after="283"/>
              <w:jc w:val="left"/>
              <w:rPr/>
            </w:pPr>
            <w:r>
              <w:rPr/>
              <w:t> </w:t>
            </w:r>
          </w:p>
        </w:tc>
      </w:tr>
      <w:tr>
        <w:trPr/>
        <w:tc>
          <w:tcPr>
            <w:tcW w:w="1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Strategic initiative costs(4)</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1,512</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3,159</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2,711</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9,947</w:t>
            </w:r>
          </w:p>
        </w:tc>
        <w:tc>
          <w:tcPr>
            <w:tcW w:w="35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17,092</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9,856</w:t>
            </w:r>
          </w:p>
        </w:tc>
        <w:tc>
          <w:tcPr>
            <w:tcW w:w="360" w:type="dxa"/>
            <w:tcBorders/>
            <w:shd w:fill="CCEEFF" w:val="clear"/>
            <w:vAlign w:val="bottom"/>
          </w:tcPr>
          <w:p>
            <w:pPr>
              <w:pStyle w:val="TableContents"/>
              <w:bidi w:val="0"/>
              <w:spacing w:before="0" w:after="283"/>
              <w:jc w:val="left"/>
              <w:rPr/>
            </w:pPr>
            <w:r>
              <w:rPr/>
              <w:t> </w:t>
            </w:r>
          </w:p>
        </w:tc>
      </w:tr>
      <w:tr>
        <w:trPr/>
        <w:tc>
          <w:tcPr>
            <w:tcW w:w="1909"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asset adjustments(5)</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(93</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(198</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3,796</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3,598</w:t>
            </w:r>
          </w:p>
        </w:tc>
        <w:tc>
          <w:tcPr>
            <w:tcW w:w="360" w:type="dxa"/>
            <w:tcBorders/>
            <w:vAlign w:val="bottom"/>
          </w:tcPr>
          <w:p>
            <w:pPr>
              <w:pStyle w:val="TableContents"/>
              <w:bidi w:val="0"/>
              <w:spacing w:before="0" w:after="283"/>
              <w:jc w:val="left"/>
              <w:rPr/>
            </w:pPr>
            <w:r>
              <w:rPr/>
              <w:t> </w:t>
            </w:r>
          </w:p>
        </w:tc>
      </w:tr>
      <w:tr>
        <w:trPr/>
        <w:tc>
          <w:tcPr>
            <w:tcW w:w="1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Receivable Agreement liability remeasurements(6)</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88</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(161</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2,914</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2,753</w:t>
            </w:r>
          </w:p>
        </w:tc>
        <w:tc>
          <w:tcPr>
            <w:tcW w:w="360" w:type="dxa"/>
            <w:tcBorders/>
            <w:shd w:fill="CCEEFF" w:val="clear"/>
            <w:vAlign w:val="bottom"/>
          </w:tcPr>
          <w:p>
            <w:pPr>
              <w:pStyle w:val="TableContents"/>
              <w:bidi w:val="0"/>
              <w:spacing w:before="0" w:after="283"/>
              <w:jc w:val="left"/>
              <w:rPr/>
            </w:pPr>
            <w:r>
              <w:rPr/>
              <w:t> </w:t>
            </w:r>
          </w:p>
        </w:tc>
      </w:tr>
      <w:tr>
        <w:trPr/>
        <w:tc>
          <w:tcPr>
            <w:tcW w:w="190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and other non-cash compensation expense(7)</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73,942</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7,699</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114,357</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3,241</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68,003</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179,119</w:t>
            </w:r>
          </w:p>
        </w:tc>
        <w:tc>
          <w:tcPr>
            <w:tcW w:w="360" w:type="dxa"/>
            <w:tcBorders/>
            <w:vAlign w:val="bottom"/>
          </w:tcPr>
          <w:p>
            <w:pPr>
              <w:pStyle w:val="TableContents"/>
              <w:bidi w:val="0"/>
              <w:spacing w:before="0" w:after="283"/>
              <w:jc w:val="left"/>
              <w:rPr/>
            </w:pPr>
            <w:r>
              <w:rPr/>
              <w:t> </w:t>
            </w:r>
          </w:p>
        </w:tc>
      </w:tr>
      <w:tr>
        <w:trPr/>
        <w:tc>
          <w:tcPr>
            <w:tcW w:w="1909"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60" w:type="dxa"/>
            <w:tcBorders/>
            <w:vAlign w:val="center"/>
          </w:tcPr>
          <w:p>
            <w:pPr>
              <w:pStyle w:val="TableContents"/>
              <w:bidi w:val="0"/>
              <w:spacing w:before="0" w:after="283"/>
              <w:jc w:val="left"/>
              <w:rPr/>
            </w:pPr>
            <w:r>
              <w:rPr/>
              <w:t> </w:t>
            </w:r>
          </w:p>
        </w:tc>
      </w:tr>
      <w:tr>
        <w:trPr/>
        <w:tc>
          <w:tcPr>
            <w:tcW w:w="1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154,569</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72,204</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272,670</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123,023</w:t>
            </w:r>
          </w:p>
        </w:tc>
        <w:tc>
          <w:tcPr>
            <w:tcW w:w="35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298,825</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448,472</w:t>
            </w:r>
          </w:p>
        </w:tc>
        <w:tc>
          <w:tcPr>
            <w:tcW w:w="360" w:type="dxa"/>
            <w:tcBorders/>
            <w:shd w:fill="CCEEFF" w:val="clear"/>
            <w:vAlign w:val="bottom"/>
          </w:tcPr>
          <w:p>
            <w:pPr>
              <w:pStyle w:val="TableContents"/>
              <w:bidi w:val="0"/>
              <w:spacing w:before="0" w:after="283"/>
              <w:jc w:val="left"/>
              <w:rPr/>
            </w:pPr>
            <w:r>
              <w:rPr/>
              <w:t> </w:t>
            </w:r>
          </w:p>
        </w:tc>
      </w:tr>
      <w:tr>
        <w:trPr/>
        <w:tc>
          <w:tcPr>
            <w:tcW w:w="1909" w:type="dxa"/>
            <w:tcBorders/>
          </w:tcPr>
          <w:p>
            <w:pPr>
              <w:pStyle w:val="TableContents"/>
              <w:bidi w:val="0"/>
              <w:spacing w:before="0" w:after="0"/>
              <w:jc w:val="left"/>
              <w:rPr>
                <w:rFonts w:ascii="Times New Roman" w:hAnsi="Times New Roman"/>
                <w:sz w:val="20"/>
              </w:rPr>
            </w:pPr>
            <w:r>
              <w:rPr>
                <w:rFonts w:ascii="Times New Roman" w:hAnsi="Times New Roman"/>
                <w:sz w:val="20"/>
              </w:rPr>
              <w:t>Net loss margin</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(2.7</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(0.6</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(0.7</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w:t>
            </w:r>
          </w:p>
        </w:tc>
        <w:tc>
          <w:tcPr>
            <w:tcW w:w="35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(3.0</w:t>
            </w:r>
          </w:p>
        </w:tc>
        <w:tc>
          <w:tcPr>
            <w:tcW w:w="3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w:t>
            </w:r>
          </w:p>
        </w:tc>
        <w:tc>
          <w:tcPr>
            <w:tcW w:w="360" w:type="dxa"/>
            <w:tcBorders/>
            <w:vAlign w:val="bottom"/>
          </w:tcPr>
          <w:p>
            <w:pPr>
              <w:pStyle w:val="TableContents"/>
              <w:bidi w:val="0"/>
              <w:spacing w:before="0" w:after="283"/>
              <w:jc w:val="left"/>
              <w:rPr/>
            </w:pPr>
            <w:r>
              <w:rPr/>
              <w:t>)% </w:t>
            </w:r>
          </w:p>
        </w:tc>
      </w:tr>
      <w:tr>
        <w:trPr/>
        <w:tc>
          <w:tcPr>
            <w:tcW w:w="1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12.2</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12.1</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11.9</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11.1</w:t>
            </w:r>
          </w:p>
        </w:tc>
        <w:tc>
          <w:tcPr>
            <w:tcW w:w="35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11.7</w:t>
            </w:r>
          </w:p>
        </w:tc>
        <w:tc>
          <w:tcPr>
            <w:tcW w:w="3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12.0</w:t>
            </w:r>
          </w:p>
        </w:tc>
        <w:tc>
          <w:tcPr>
            <w:tcW w:w="3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costs incurred in connection with our debt refinancings in each of the periods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three months ended June 30, 2026 and 2025, $0.4 million relates to acquisition costs recorded in acquisition-related costs and $0.3 million relates to acquisition integration costs recorded in selling, general and administrative costs, respectively, in the Condensed Consolidated Statements of Operations. For the six months ended June 30, 2026 and 2025, the figures include $11.8 million and $0.2 million, respectively, of acquisition costs recorded in acquisition-related costs and $0.3 million and $1.6 million, respectively, of acquisition integration costs recorded in selling, general and administrative costs in the Condensed Consolidated Statements of Operations.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consulting and initial upfront costs associated with implementing and optimizing certain enterprise resource planning systems.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consulting, legal, accounting, and other expenses in connection with non-recurring extraordinary company transactions, including fees related to our IPO that did not meet the requirements to be deferred issuance costs and (ii) consulting, legal, accounting, and other expenses in connection with secondary offerings conducted on behalf of our selling shareholders.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adjustments to an indemnification asset related to unrecognized tax benefits acquired in a prior acquisition recorded in Other income, net in the Condensed Consolidated Statements of Operations and is fully offset in Income tax expense (benefit) in the Condensed Consolidated Statements of Operations.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Receivable Agreement liability remeasurements are recorded in Other income, net in the Condensed Consolidated Statements of Operations.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compensation expense relating to legacy Series A Interests and Restricted Series C Interests as well as RSUs, stock options, and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a reconciliation (the “Bowers EBITDA Reconciliation”) of net income of Bowers, the most directly comparable financial measure presented in accordance with GAAP, to Bowers EBITDA for the six months ended December 31,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92"/>
        <w:gridCol w:w="629"/>
        <w:gridCol w:w="333"/>
        <w:gridCol w:w="1627"/>
        <w:gridCol w:w="158"/>
      </w:tblGrid>
      <w:tr>
        <w:trPr/>
        <w:tc>
          <w:tcPr>
            <w:tcW w:w="4192" w:type="dxa"/>
            <w:tcBorders/>
            <w:vAlign w:val="center"/>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92" w:type="dxa"/>
            <w:tcBorders/>
            <w:vAlign w:val="bottom"/>
          </w:tcPr>
          <w:p>
            <w:pPr>
              <w:pStyle w:val="TableContents"/>
              <w:bidi w:val="0"/>
              <w:spacing w:before="0" w:after="283"/>
              <w:jc w:val="left"/>
              <w:rPr>
                <w:i/>
              </w:rPr>
            </w:pPr>
            <w:r>
              <w:rPr>
                <w:i/>
              </w:rPr>
              <w:t>($ in thousands)</w:t>
            </w:r>
          </w:p>
        </w:tc>
        <w:tc>
          <w:tcPr>
            <w:tcW w:w="629"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December 31, 2025</w:t>
            </w:r>
          </w:p>
        </w:tc>
        <w:tc>
          <w:tcPr>
            <w:tcW w:w="158"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2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27" w:type="dxa"/>
            <w:tcBorders/>
            <w:shd w:fill="CCEEFF" w:val="clear"/>
            <w:vAlign w:val="bottom"/>
          </w:tcPr>
          <w:p>
            <w:pPr>
              <w:pStyle w:val="TableContents"/>
              <w:bidi w:val="0"/>
              <w:spacing w:before="0" w:after="283"/>
              <w:jc w:val="right"/>
              <w:rPr/>
            </w:pPr>
            <w:r>
              <w:rPr/>
              <w:t>48,876</w:t>
            </w:r>
          </w:p>
        </w:tc>
        <w:tc>
          <w:tcPr>
            <w:tcW w:w="158"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2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27" w:type="dxa"/>
            <w:tcBorders/>
            <w:vAlign w:val="bottom"/>
          </w:tcPr>
          <w:p>
            <w:pPr>
              <w:pStyle w:val="TableContents"/>
              <w:bidi w:val="0"/>
              <w:spacing w:before="0" w:after="283"/>
              <w:jc w:val="right"/>
              <w:rPr/>
            </w:pPr>
            <w:r>
              <w:rPr/>
              <w:t>(1,256</w:t>
            </w:r>
          </w:p>
        </w:tc>
        <w:tc>
          <w:tcPr>
            <w:tcW w:w="158"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2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27" w:type="dxa"/>
            <w:tcBorders/>
            <w:shd w:fill="CCEEFF" w:val="clear"/>
            <w:vAlign w:val="bottom"/>
          </w:tcPr>
          <w:p>
            <w:pPr>
              <w:pStyle w:val="TableContents"/>
              <w:bidi w:val="0"/>
              <w:spacing w:before="0" w:after="283"/>
              <w:jc w:val="right"/>
              <w:rPr/>
            </w:pPr>
            <w:r>
              <w:rPr/>
              <w:t>2,827</w:t>
            </w:r>
          </w:p>
        </w:tc>
        <w:tc>
          <w:tcPr>
            <w:tcW w:w="158"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2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27" w:type="dxa"/>
            <w:tcBorders/>
            <w:vAlign w:val="bottom"/>
          </w:tcPr>
          <w:p>
            <w:pPr>
              <w:pStyle w:val="TableContents"/>
              <w:bidi w:val="0"/>
              <w:spacing w:before="0" w:after="283"/>
              <w:jc w:val="right"/>
              <w:rPr/>
            </w:pPr>
            <w:r>
              <w:rPr/>
              <w:t>885</w:t>
            </w:r>
          </w:p>
        </w:tc>
        <w:tc>
          <w:tcPr>
            <w:tcW w:w="158"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629"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27" w:type="dxa"/>
            <w:tcBorders/>
            <w:shd w:fill="CCEEFF" w:val="clear"/>
            <w:vAlign w:val="bottom"/>
          </w:tcPr>
          <w:p>
            <w:pPr>
              <w:pStyle w:val="TableContents"/>
              <w:bidi w:val="0"/>
              <w:spacing w:before="0" w:after="283"/>
              <w:jc w:val="right"/>
              <w:rPr/>
            </w:pPr>
            <w:r>
              <w:rPr/>
              <w:t>51,332</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taken together with the Legence adjusted EBITDA Reconciliation and the Bowers EBITDA Reconciliation, presents the calculation of LTM combined adjusted EBITDA: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499"/>
        <w:gridCol w:w="228"/>
        <w:gridCol w:w="284"/>
        <w:gridCol w:w="1630"/>
        <w:gridCol w:w="60"/>
        <w:gridCol w:w="228"/>
        <w:gridCol w:w="291"/>
        <w:gridCol w:w="1666"/>
        <w:gridCol w:w="60"/>
        <w:gridCol w:w="228"/>
        <w:gridCol w:w="347"/>
        <w:gridCol w:w="1986"/>
        <w:gridCol w:w="65"/>
      </w:tblGrid>
      <w:tr>
        <w:trPr/>
        <w:tc>
          <w:tcPr>
            <w:tcW w:w="1499"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99" w:type="dxa"/>
            <w:tcBorders/>
            <w:vAlign w:val="bottom"/>
          </w:tcPr>
          <w:p>
            <w:pPr>
              <w:pStyle w:val="TableContents"/>
              <w:bidi w:val="0"/>
              <w:spacing w:before="0" w:after="283"/>
              <w:jc w:val="left"/>
              <w:rPr>
                <w:i/>
              </w:rPr>
            </w:pPr>
            <w:r>
              <w:rPr>
                <w:i/>
              </w:rPr>
              <w:t>($ in thousands)</w:t>
            </w:r>
          </w:p>
        </w:tc>
        <w:tc>
          <w:tcPr>
            <w:tcW w:w="228" w:type="dxa"/>
            <w:tcBorders/>
            <w:vAlign w:val="bottom"/>
          </w:tcPr>
          <w:p>
            <w:pPr>
              <w:pStyle w:val="TableContents"/>
              <w:bidi w:val="0"/>
              <w:spacing w:before="0" w:after="283"/>
              <w:jc w:val="left"/>
              <w:rPr/>
            </w:pPr>
            <w:r>
              <w:rPr/>
              <w:t>  </w:t>
            </w:r>
          </w:p>
        </w:tc>
        <w:tc>
          <w:tcPr>
            <w:tcW w:w="1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December 31, 2025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3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June 30, 2026</w:t>
            </w:r>
          </w:p>
        </w:tc>
        <w:tc>
          <w:tcPr>
            <w:tcW w:w="65" w:type="dxa"/>
            <w:tcBorders/>
            <w:vAlign w:val="bottom"/>
          </w:tcPr>
          <w:p>
            <w:pPr>
              <w:pStyle w:val="TableContents"/>
              <w:bidi w:val="0"/>
              <w:spacing w:before="0" w:after="283"/>
              <w:jc w:val="left"/>
              <w:rPr/>
            </w:pPr>
            <w:r>
              <w:rPr/>
              <w:t> </w:t>
            </w:r>
          </w:p>
        </w:tc>
      </w:tr>
      <w:tr>
        <w:trPr/>
        <w:tc>
          <w:tcPr>
            <w:tcW w:w="1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Legence Adjusted EBITDA</w:t>
            </w:r>
          </w:p>
        </w:tc>
        <w:tc>
          <w:tcPr>
            <w:tcW w:w="228"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630" w:type="dxa"/>
            <w:tcBorders/>
            <w:shd w:fill="CCEEFF" w:val="clear"/>
            <w:vAlign w:val="bottom"/>
          </w:tcPr>
          <w:p>
            <w:pPr>
              <w:pStyle w:val="TableContents"/>
              <w:bidi w:val="0"/>
              <w:spacing w:before="0" w:after="283"/>
              <w:jc w:val="right"/>
              <w:rPr/>
            </w:pPr>
            <w:r>
              <w:rPr/>
              <w:t>272,670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666" w:type="dxa"/>
            <w:tcBorders/>
            <w:shd w:fill="CCEEFF" w:val="clear"/>
            <w:vAlign w:val="bottom"/>
          </w:tcPr>
          <w:p>
            <w:pPr>
              <w:pStyle w:val="TableContents"/>
              <w:bidi w:val="0"/>
              <w:spacing w:before="0" w:after="283"/>
              <w:jc w:val="right"/>
              <w:rPr/>
            </w:pPr>
            <w:r>
              <w:rPr/>
              <w:t>175,802</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w:t>
            </w:r>
          </w:p>
        </w:tc>
        <w:tc>
          <w:tcPr>
            <w:tcW w:w="1986" w:type="dxa"/>
            <w:tcBorders/>
            <w:shd w:fill="CCEEFF" w:val="clear"/>
            <w:vAlign w:val="bottom"/>
          </w:tcPr>
          <w:p>
            <w:pPr>
              <w:pStyle w:val="TableContents"/>
              <w:bidi w:val="0"/>
              <w:spacing w:before="0" w:after="283"/>
              <w:jc w:val="right"/>
              <w:rPr/>
            </w:pPr>
            <w:r>
              <w:rPr/>
              <w:t>448,472</w:t>
            </w:r>
          </w:p>
        </w:tc>
        <w:tc>
          <w:tcPr>
            <w:tcW w:w="65" w:type="dxa"/>
            <w:tcBorders/>
            <w:shd w:fill="CCEEFF" w:val="clear"/>
            <w:vAlign w:val="bottom"/>
          </w:tcPr>
          <w:p>
            <w:pPr>
              <w:pStyle w:val="TableContents"/>
              <w:bidi w:val="0"/>
              <w:spacing w:before="0" w:after="283"/>
              <w:jc w:val="left"/>
              <w:rPr/>
            </w:pPr>
            <w:r>
              <w:rPr/>
              <w:t> </w:t>
            </w:r>
          </w:p>
        </w:tc>
      </w:tr>
      <w:tr>
        <w:trPr/>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Bowers EBITDA</w:t>
            </w:r>
          </w:p>
        </w:tc>
        <w:tc>
          <w:tcPr>
            <w:tcW w:w="228"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66" w:type="dxa"/>
            <w:tcBorders/>
            <w:vAlign w:val="bottom"/>
          </w:tcPr>
          <w:p>
            <w:pPr>
              <w:pStyle w:val="TableContents"/>
              <w:bidi w:val="0"/>
              <w:spacing w:before="0" w:after="283"/>
              <w:jc w:val="right"/>
              <w:rPr/>
            </w:pPr>
            <w:r>
              <w:rPr/>
              <w:t>51,332</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986" w:type="dxa"/>
            <w:tcBorders/>
            <w:vAlign w:val="bottom"/>
          </w:tcPr>
          <w:p>
            <w:pPr>
              <w:pStyle w:val="TableContents"/>
              <w:bidi w:val="0"/>
              <w:spacing w:before="0" w:after="283"/>
              <w:jc w:val="right"/>
              <w:rPr/>
            </w:pPr>
            <w:r>
              <w:rPr/>
              <w:t>51,332</w:t>
            </w:r>
          </w:p>
        </w:tc>
        <w:tc>
          <w:tcPr>
            <w:tcW w:w="65" w:type="dxa"/>
            <w:tcBorders/>
            <w:vAlign w:val="bottom"/>
          </w:tcPr>
          <w:p>
            <w:pPr>
              <w:pStyle w:val="TableContents"/>
              <w:bidi w:val="0"/>
              <w:spacing w:before="0" w:after="283"/>
              <w:jc w:val="left"/>
              <w:rPr/>
            </w:pPr>
            <w:r>
              <w:rPr/>
              <w:t> </w:t>
            </w:r>
          </w:p>
        </w:tc>
      </w:tr>
      <w:tr>
        <w:trPr/>
        <w:tc>
          <w:tcPr>
            <w:tcW w:w="149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6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98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LTM combined adjusted EBITDA</w:t>
            </w:r>
          </w:p>
        </w:tc>
        <w:tc>
          <w:tcPr>
            <w:tcW w:w="228"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6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w:t>
            </w:r>
          </w:p>
        </w:tc>
        <w:tc>
          <w:tcPr>
            <w:tcW w:w="1986" w:type="dxa"/>
            <w:tcBorders/>
            <w:shd w:fill="CCEEFF" w:val="clear"/>
            <w:vAlign w:val="bottom"/>
          </w:tcPr>
          <w:p>
            <w:pPr>
              <w:pStyle w:val="TableContents"/>
              <w:bidi w:val="0"/>
              <w:spacing w:before="0" w:after="283"/>
              <w:jc w:val="right"/>
              <w:rPr/>
            </w:pPr>
            <w:r>
              <w:rPr/>
              <w:t>499,804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calculation of net leverage and adjusted net leverage: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54"/>
        <w:gridCol w:w="342"/>
        <w:gridCol w:w="177"/>
        <w:gridCol w:w="1303"/>
        <w:gridCol w:w="63"/>
      </w:tblGrid>
      <w:tr>
        <w:trPr/>
        <w:tc>
          <w:tcPr>
            <w:tcW w:w="505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54" w:type="dxa"/>
            <w:tcBorders/>
            <w:vAlign w:val="bottom"/>
          </w:tcPr>
          <w:p>
            <w:pPr>
              <w:pStyle w:val="TableContents"/>
              <w:bidi w:val="0"/>
              <w:spacing w:before="0" w:after="283"/>
              <w:jc w:val="left"/>
              <w:rPr>
                <w:i/>
              </w:rPr>
            </w:pPr>
            <w:r>
              <w:rPr>
                <w:i/>
              </w:rPr>
              <w:t>($ in thousands)</w:t>
            </w:r>
          </w:p>
        </w:tc>
        <w:tc>
          <w:tcPr>
            <w:tcW w:w="342"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3"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4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303" w:type="dxa"/>
            <w:tcBorders/>
            <w:shd w:fill="CCEEFF" w:val="clear"/>
            <w:vAlign w:val="bottom"/>
          </w:tcPr>
          <w:p>
            <w:pPr>
              <w:pStyle w:val="TableContents"/>
              <w:bidi w:val="0"/>
              <w:spacing w:before="0" w:after="283"/>
              <w:jc w:val="right"/>
              <w:rPr/>
            </w:pPr>
            <w:r>
              <w:rPr/>
              <w:t>291,980</w:t>
            </w:r>
          </w:p>
        </w:tc>
        <w:tc>
          <w:tcPr>
            <w:tcW w:w="63" w:type="dxa"/>
            <w:tcBorders/>
            <w:shd w:fill="CCEEFF" w:val="clear"/>
            <w:vAlign w:val="bottom"/>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34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303" w:type="dxa"/>
            <w:tcBorders/>
            <w:vAlign w:val="bottom"/>
          </w:tcPr>
          <w:p>
            <w:pPr>
              <w:pStyle w:val="TableContents"/>
              <w:bidi w:val="0"/>
              <w:spacing w:before="0" w:after="283"/>
              <w:jc w:val="right"/>
              <w:rPr/>
            </w:pPr>
            <w:r>
              <w:rPr/>
              <w:t>992,790</w:t>
            </w:r>
          </w:p>
        </w:tc>
        <w:tc>
          <w:tcPr>
            <w:tcW w:w="63"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Payable</w:t>
            </w:r>
          </w:p>
        </w:tc>
        <w:tc>
          <w:tcPr>
            <w:tcW w:w="34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33,589</w:t>
            </w:r>
          </w:p>
        </w:tc>
        <w:tc>
          <w:tcPr>
            <w:tcW w:w="63" w:type="dxa"/>
            <w:tcBorders/>
            <w:shd w:fill="CCEEFF" w:val="clear"/>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3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Total Debt(1)</w:t>
            </w:r>
          </w:p>
        </w:tc>
        <w:tc>
          <w:tcPr>
            <w:tcW w:w="34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303" w:type="dxa"/>
            <w:tcBorders/>
            <w:vAlign w:val="bottom"/>
          </w:tcPr>
          <w:p>
            <w:pPr>
              <w:pStyle w:val="TableContents"/>
              <w:bidi w:val="0"/>
              <w:spacing w:before="0" w:after="283"/>
              <w:jc w:val="right"/>
              <w:rPr/>
            </w:pPr>
            <w:r>
              <w:rPr/>
              <w:t>1,026,379</w:t>
            </w:r>
          </w:p>
        </w:tc>
        <w:tc>
          <w:tcPr>
            <w:tcW w:w="63"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Debt(1)</w:t>
            </w:r>
          </w:p>
        </w:tc>
        <w:tc>
          <w:tcPr>
            <w:tcW w:w="34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303" w:type="dxa"/>
            <w:tcBorders/>
            <w:shd w:fill="CCEEFF" w:val="clear"/>
            <w:vAlign w:val="bottom"/>
          </w:tcPr>
          <w:p>
            <w:pPr>
              <w:pStyle w:val="TableContents"/>
              <w:bidi w:val="0"/>
              <w:spacing w:before="0" w:after="283"/>
              <w:jc w:val="right"/>
              <w:rPr/>
            </w:pPr>
            <w:r>
              <w:rPr/>
              <w:t>734,399</w:t>
            </w:r>
          </w:p>
        </w:tc>
        <w:tc>
          <w:tcPr>
            <w:tcW w:w="63" w:type="dxa"/>
            <w:tcBorders/>
            <w:shd w:fill="CCEEFF" w:val="clear"/>
            <w:vAlign w:val="bottom"/>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Legence LTM adjusted EBITDA</w:t>
            </w:r>
          </w:p>
        </w:tc>
        <w:tc>
          <w:tcPr>
            <w:tcW w:w="34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303" w:type="dxa"/>
            <w:tcBorders/>
            <w:vAlign w:val="bottom"/>
          </w:tcPr>
          <w:p>
            <w:pPr>
              <w:pStyle w:val="TableContents"/>
              <w:bidi w:val="0"/>
              <w:spacing w:before="0" w:after="283"/>
              <w:jc w:val="right"/>
              <w:rPr/>
            </w:pPr>
            <w:r>
              <w:rPr/>
              <w:t>448,472</w:t>
            </w:r>
          </w:p>
        </w:tc>
        <w:tc>
          <w:tcPr>
            <w:tcW w:w="63"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Leverage</w:t>
            </w:r>
          </w:p>
        </w:tc>
        <w:tc>
          <w:tcPr>
            <w:tcW w:w="34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b/>
              </w:rPr>
            </w:pPr>
            <w:r>
              <w:rPr>
                <w:b/>
              </w:rPr>
              <w:t>1.6</w:t>
            </w:r>
          </w:p>
        </w:tc>
        <w:tc>
          <w:tcPr>
            <w:tcW w:w="63" w:type="dxa"/>
            <w:tcBorders/>
            <w:shd w:fill="CCEEFF" w:val="clear"/>
            <w:vAlign w:val="bottom"/>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LTM combined adjusted EBITDA(2)</w:t>
            </w:r>
          </w:p>
        </w:tc>
        <w:tc>
          <w:tcPr>
            <w:tcW w:w="34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303" w:type="dxa"/>
            <w:tcBorders/>
            <w:vAlign w:val="bottom"/>
          </w:tcPr>
          <w:p>
            <w:pPr>
              <w:pStyle w:val="TableContents"/>
              <w:bidi w:val="0"/>
              <w:spacing w:before="0" w:after="283"/>
              <w:jc w:val="right"/>
              <w:rPr/>
            </w:pPr>
            <w:r>
              <w:rPr/>
              <w:t>499,804</w:t>
            </w:r>
          </w:p>
        </w:tc>
        <w:tc>
          <w:tcPr>
            <w:tcW w:w="63"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Net Leverage</w:t>
            </w:r>
          </w:p>
        </w:tc>
        <w:tc>
          <w:tcPr>
            <w:tcW w:w="34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b/>
              </w:rPr>
            </w:pPr>
            <w:r>
              <w:rPr>
                <w:b/>
              </w:rPr>
              <w:t>1.5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approximately 15.0 million of finance leases in June 30,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sum of (a) Adjusted EBITDA of Legence for the 12-month period ended June 30, 2026 and (b) EBITDA of Bowers for the six month period ended December 31,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Adjusted Gross Profit and Adjusted Gross Margin </w:t>
      </w:r>
    </w:p>
    <w:p>
      <w:pPr>
        <w:pStyle w:val="TextBody"/>
        <w:bidi w:val="0"/>
        <w:spacing w:before="120" w:after="0"/>
        <w:jc w:val="left"/>
        <w:rPr>
          <w:rFonts w:ascii="Times New Roman" w:hAnsi="Times New Roman"/>
          <w:sz w:val="20"/>
        </w:rPr>
      </w:pPr>
      <w:r>
        <w:rPr>
          <w:rFonts w:ascii="Times New Roman" w:hAnsi="Times New Roman"/>
          <w:sz w:val="20"/>
        </w:rPr>
        <w:t xml:space="preserve">Adjusted Gross Profit is a financial measure not presented in accordance with GAAP but is intended to provide useful and supplemental information to investors and analysts as they evaluate our performance. Gross profit is defined as revenue less cost of revenue services. Adjusted Gross Profit is defined as gross profit adjusted to exclude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compensation related to legacy Series A Interests and Restricted Series C Interests, where the payment of this expense is borne by entities outside of Legence Adjusted Gross Profit should not be considered an alternative to gross profit that is derived in accordance with GAAP. Adjusted Gross Margin is defined as Adjusted Gross Profit divided by revenue. Management believes that the exclusion of the above-described items from gross profit in the presentation of the non-GAAP measure identified above enables us and our investors to supplement the evaluation of our operations period over period and to identify operating trends that might not otherwise be apparent due to, among other reasons, the variable nature of these items, both in value and frequency, period over period. In addition, management believes this measure may be useful for investors in comparing our operating results with those of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reconciliation of our gross profit, the most directly comparable financial measure presented in accordance with GAAP, to Adjusted Gross Profit for the periods presented herein (in thousands) and our Adjusted Gross Margin for the same periods: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51"/>
        <w:gridCol w:w="285"/>
        <w:gridCol w:w="140"/>
        <w:gridCol w:w="843"/>
        <w:gridCol w:w="276"/>
        <w:gridCol w:w="196"/>
        <w:gridCol w:w="140"/>
        <w:gridCol w:w="843"/>
        <w:gridCol w:w="281"/>
      </w:tblGrid>
      <w:tr>
        <w:trPr/>
        <w:tc>
          <w:tcPr>
            <w:tcW w:w="4751"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75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438"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281" w:type="dxa"/>
            <w:tcBorders/>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1"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3"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3"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Engineering &amp; Consulting Segment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3" w:type="dxa"/>
            <w:tcBorders/>
            <w:vAlign w:val="bottom"/>
          </w:tcPr>
          <w:p>
            <w:pPr>
              <w:pStyle w:val="TableContents"/>
              <w:bidi w:val="0"/>
              <w:spacing w:before="0" w:after="283"/>
              <w:jc w:val="right"/>
              <w:rPr/>
            </w:pPr>
            <w:r>
              <w:rPr/>
              <w:t>56,148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3" w:type="dxa"/>
            <w:tcBorders/>
            <w:vAlign w:val="bottom"/>
          </w:tcPr>
          <w:p>
            <w:pPr>
              <w:pStyle w:val="TableContents"/>
              <w:bidi w:val="0"/>
              <w:spacing w:before="0" w:after="283"/>
              <w:jc w:val="right"/>
              <w:rPr/>
            </w:pPr>
            <w:r>
              <w:rPr/>
              <w:t>64,111</w:t>
            </w:r>
          </w:p>
        </w:tc>
        <w:tc>
          <w:tcPr>
            <w:tcW w:w="281"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Installation &amp; Maintenance Segment</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164,083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64,563</w:t>
            </w:r>
          </w:p>
        </w:tc>
        <w:tc>
          <w:tcPr>
            <w:tcW w:w="281" w:type="dxa"/>
            <w:tcBorders/>
            <w:shd w:fill="CCEEFF" w:val="clear"/>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3" w:type="dxa"/>
            <w:tcBorders/>
            <w:vAlign w:val="bottom"/>
          </w:tcPr>
          <w:p>
            <w:pPr>
              <w:pStyle w:val="TableContents"/>
              <w:bidi w:val="0"/>
              <w:spacing w:before="0" w:after="283"/>
              <w:jc w:val="right"/>
              <w:rPr/>
            </w:pPr>
            <w:r>
              <w:rPr/>
              <w:t>220,231</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3" w:type="dxa"/>
            <w:tcBorders/>
            <w:vAlign w:val="bottom"/>
          </w:tcPr>
          <w:p>
            <w:pPr>
              <w:pStyle w:val="TableContents"/>
              <w:bidi w:val="0"/>
              <w:spacing w:before="0" w:after="283"/>
              <w:jc w:val="right"/>
              <w:rPr/>
            </w:pPr>
            <w:r>
              <w:rPr/>
              <w:t>128,674</w:t>
            </w:r>
          </w:p>
        </w:tc>
        <w:tc>
          <w:tcPr>
            <w:tcW w:w="281"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Adjustments:</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3"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3"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 to legacy Series A Interests and Restricted Series C Interests(1)</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3"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Engineering &amp; Consulting Segment</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8,186</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977</w:t>
            </w:r>
          </w:p>
        </w:tc>
        <w:tc>
          <w:tcPr>
            <w:tcW w:w="281"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Installation &amp; Maintenance Segment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5,543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679</w:t>
            </w:r>
          </w:p>
        </w:tc>
        <w:tc>
          <w:tcPr>
            <w:tcW w:w="281" w:type="dxa"/>
            <w:tcBorders/>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13,729</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1,656</w:t>
            </w:r>
          </w:p>
        </w:tc>
        <w:tc>
          <w:tcPr>
            <w:tcW w:w="281"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Non-GAAP Adjusted Gross Profit: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3"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Engineering &amp; Consulting Segment</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64,334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65,088</w:t>
            </w:r>
          </w:p>
        </w:tc>
        <w:tc>
          <w:tcPr>
            <w:tcW w:w="281"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Installation &amp; Maintenance Segment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169,626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65,242</w:t>
            </w:r>
          </w:p>
        </w:tc>
        <w:tc>
          <w:tcPr>
            <w:tcW w:w="281" w:type="dxa"/>
            <w:tcBorders/>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233,960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130,330</w:t>
            </w:r>
          </w:p>
        </w:tc>
        <w:tc>
          <w:tcPr>
            <w:tcW w:w="281"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Non-GAAP Adjusted Gross Margin:</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3"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Engineering &amp; Consulting Segment</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31.1</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33.2</w:t>
            </w:r>
          </w:p>
        </w:tc>
        <w:tc>
          <w:tcPr>
            <w:tcW w:w="281"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Installation &amp; Maintenance Segment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16.1</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16.2</w:t>
            </w:r>
          </w:p>
        </w:tc>
        <w:tc>
          <w:tcPr>
            <w:tcW w:w="281"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18.5</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21.8</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portion of compensation related to legacy Series A Interests and Restricted Series C Interests paid for by entities outside of Legence and recorded in cost of revenue in the Condensed Consolidated Statements of Operations. Figures exclude the portion of stock-based compensation expense related to restricted stock units and other equity awards issued by Legence.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Backlog and Awarded Contracts and Book-to-Bill Ratio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backlog and awarded contracts and book-to-bill ratio enable us to more effectively forecast our future results and working capital needs, as well as better identify future operating trends that may not otherwise be apparent. Backlog represents, as of any date of determination, the expected revenue values of the remaining performance obligations under our contracted fixed-price projects. Awarded contracts represents, as of any date of determination, the expected revenue values of projects awarded to us following a request for proposals but for which a formal contract has not yet been signed. We calculate our book-to-bill ratio by taking our additions to backlog and awarded contracts, excluding additions that were attained through acquisition, for the period, and dividing it by revenue from fixed-price contracts for the same period. Given that backlog and awarded contracts and book-to-bill ratio are operational measures and that our methodology for calculating each such measure does not meet the definition of a non-GAAP financial measure, as that term is defined by the SEC, a quantitative reconciliation for each is not required or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6448</Words>
  <Characters>35802</Characters>
  <CharactersWithSpaces>44020</CharactersWithSpaces>
  <Paragraphs>3586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