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 Bris Philippe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LEGENCE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1601 LAS PLUMAS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Legence Corp.</w:t>
              </w:r>
            </w:hyperlink>
            <w:r>
              <w:rPr/>
              <w:t xml:space="preserve"> [ </w:t>
            </w:r>
            <w:r>
              <w:rPr>
                <w:rFonts w:ascii="Times;serif" w:hAnsi="Times;serif"/>
                <w:color w:val="0000FF"/>
                <w:sz w:val="24"/>
                <w:shd w:fill="FFFFFF" w:val="clear"/>
              </w:rPr>
              <w:t>LGN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10,344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54.06</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6,148</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53.03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4,196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4,196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transactions occurred automatically pursuant to a Rule 10b5-1 trading plan adopted by the reporting person on 06/16/2026.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Legence Corp's Class A common stock, par value $0.01 per share, withheld to satisfy tax withholding obligations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 in three substantially equal installments the first of which occurred on September 11, 2026. The second and third installments will vest on the second and third anniversaries of the date of the award, respectively, subject generally to continued employment through the applicable vesting date. The options expire on September 11, 2035, the tenth anniversary of the date of the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Bryce Seki,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2077" TargetMode="External"/><Relationship Id="rId5" Type="http://schemas.openxmlformats.org/officeDocument/2006/relationships/hyperlink" Target="http://www.sec.gov/cgi-bin/browse-edgar?action=getcompany&amp;CIK=00020525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3868</Characters>
  <CharactersWithSpaces>4489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