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Legence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ML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31,349,705.00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31,349,705.00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31,349,705.00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II ML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19,297,381.00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19,297,381.00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19,297,381.00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31,349,705.00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31,349,705.00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31,349,705.00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19,297,381.00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19,297,381.00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19,297,381.00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Refficiency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31,349,705.00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31,349,705.00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31,349,705.00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Refficiency Aggregator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19,297,381.00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19,297,381.00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19,297,381.00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8/BEP 3 Holdings Manager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Energy Management Associates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Management Associates VIII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EMA 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BMA VIII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50,647,086.00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50,647,086.00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50,647,086.00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Legence Corp.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Las Plumas Avenue, San Jose, CA 95133</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Schedule 13G is filed on behalf of: i. Legence Parent ML LLC ii. Legence Parent II ML LLC iii. Legence Parent LLC iv. Legence Parent II LLC v. BX Refficiency Aggregator LP vi. Refficiency Aggregator II LP vii. BCP 8/BEP 3 Holdings Manager L.L.C. viii. Blackstone Energy Management Associates III L.P. ix. Blackstone Management Associates VIII L.P. x. Blackstone EMA III L.L.C. xi. BMA VIII L.L.C. xii. Blackstone Holdings II L.P. xiii. Blackstone Holdings I/II GP L.L.C. xiv. Blackstone Inc. xv. Blackstone Group Management L.L.C. xvi. Stephen A. Schwarzman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Blackstone Inc. 345 Park Avenue, New York, NY 10154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See the information set forth in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Items 5 through 9 and 11 of each of the cover pages to this Schedule 13G are incorporated herein by reference. As of June 30, 2026, Legence Parent ML LLC directly holds (i) 178,571 shares of Class A common stock, par value $0.01 per share ("Class A Common Stock") and (ii) 31,171,134 shares of Class A Common Stock issuable in exchange for an equivalent number of Class B Units of Legence Holdings LLC on a one-for-one basis (together with the cancellation for no consideration of an equal number of shares of Class B Common Stock held by Legence Parent ML LLC). Legence Parent II ML LLC directly holds 19,297,381 shares of Class A Common Stock. Legence Parent ML LLC is controlled by Legence Parent LLC, its sole member. Legence Parent LLC is controlled by BX Refficiency Aggregator LP, its managing member. BCP 8/BEP 3 Holdings Manager L.L.C. is the general partner of BX Refficiency Aggregator LP. Legence Parent II ML LLC is controlled by Legence Parent II LLC, its sole member. Legence Parent II LLC is controlled by Refficiency Aggregator II LP, its managing member. 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 Blackstone Inc. is the sole member of Blackstone Holdings I/II GP L.L.C. The sole holder of the Series II preferred stock of Blackstone Inc. ("Blackstone") is Blackstone Group Management L.L.C. Blackstone Group Management L.L.C. is wholly owned by Blackstone's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Pursuant to Rule 13d-4 of the Securities Exchange Act of 1934, as amended (the "Exchange Act"), the Reporting Persons expressly declare that the filing of this Schedule 13G shall not be construed as an admission that any such person is, for the purposes of Section 13(d) and/or Section 13(g) of the Exchange Act or otherwise, the beneficial owner of any securities covered by this Schedule 13G held by any other person, and such beneficial ownership is expressly disclaimed.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the percentage of shares of Class A Common Stock listed on Row 11 of such Reporting Person's cover page, calculated under Rule 13d-3 of the Act. Calculations are based on 76,866,798 shares of Class A Common Stock outstanding as of May 11, 2026, as set forth in the Issuer's Quarterly Report on Form 10-Q filed with the SEC on May 14, 2026, and assumes the issuance of 31,171,134 shares of Class A Common Stock in exchange for an equivalent number of Class B Units of Legence Holdings LLC directly held by Legence Parent ML LLC on a one-for-one basis (together with the cancellation for no consideration of an equal number of shares of Class B Common Stock held by Legence Parent ML LLC).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set forth in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set forth in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set forth in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set forth in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Legence Parent ML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Brooks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Brooks/Vice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Legence Parent II ML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Brooks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Brooks/Vice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Legence Parent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Bryce Seki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Bryce Seki/General Counsel and Secretary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Legence Parent II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Bryce Seki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Bryce Seki/General Counsel and Secretary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BX Refficiency Aggregator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Brooks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BCP 8/BEP 3 Holdings Manager L.L.C., its general partner, By: Robert Brooks/Authorized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Refficiency Aggregator II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Brooks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BCP 8/BEP 3 Holdings Manager L.L.C., its general partner, By: Robert Brooks/Authorized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BCP 8/BEP 3 Holdings Manager L.L.C.</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0"/>
        <w:gridCol w:w="5085"/>
      </w:tblGrid>
      <w:tr>
        <w:trPr/>
        <w:tc>
          <w:tcPr>
            <w:tcW w:w="5120" w:type="dxa"/>
            <w:tcBorders/>
            <w:vAlign w:val="center"/>
          </w:tcPr>
          <w:p>
            <w:pPr>
              <w:pStyle w:val="TableContents"/>
              <w:bidi w:val="0"/>
              <w:spacing w:before="0" w:after="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0"/>
                    <w:jc w:val="left"/>
                    <w:rPr/>
                  </w:pPr>
                  <w:r>
                    <w:rPr/>
                    <w:t>Blackstone Energy Management Associates III L.P.</w:t>
                  </w:r>
                </w:p>
              </w:tc>
            </w:tr>
          </w:tbl>
          <w:p>
            <w:pPr>
              <w:pStyle w:val="TableContents"/>
              <w:bidi w:val="0"/>
              <w:spacing w:before="0" w:after="283"/>
              <w:jc w:val="left"/>
              <w:rPr/>
            </w:pPr>
            <w:r>
              <w:rPr/>
            </w:r>
          </w:p>
        </w:tc>
        <w:tc>
          <w:tcPr>
            <w:tcW w:w="50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Robert Brooks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Blackstone EMA III L.L.C., its general partner, By: Robert Brooks/Authorized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Blackstone Management Associates VIII L.P.</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Robert Brooks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Blackstone EMA III L.L.C., its general partner, By: Robert Brooks/Authorized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Blackstone EMA III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BMA VIII L.L.C.</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Blackstone Holdings II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Victoria Portnoy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Blackstone Holdings I/II GP L.L.C., its general partner, By: Victoria Portnoy/Managing Director -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Blackstone Holdings I/II GP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Stephen A. Schwarzman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Stephen A. Schwarzman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3375</Words>
  <Characters>17754</Characters>
  <CharactersWithSpaces>20824</CharactersWithSpaces>
  <Paragraphs>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