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Legence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001-42838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33-2905250</w:t>
            </w:r>
          </w:p>
        </w:tc>
      </w:tr>
      <w:tr>
        <w:trPr>
          <w:trHeight w:val="148"/>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8"/>
              </w:rPr>
              <w:t>1601 Las Plumas Avenue</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rPr>
              <w:t>San Jose, CA</w:t>
            </w:r>
          </w:p>
        </w:tc>
        <w:tc>
          <w:tcPr>
            <w:tcW w:w="232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95133</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534-3623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LGN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520" w:firstLine="440"/>
        <w:spacing w:after="0" w:line="289" w:lineRule="auto"/>
        <w:rPr>
          <w:sz w:val="20"/>
          <w:szCs w:val="20"/>
          <w:color w:val="auto"/>
        </w:rPr>
      </w:pPr>
      <w:r>
        <w:rPr>
          <w:rFonts w:ascii="Times New Roman" w:cs="Times New Roman" w:eastAsia="Times New Roman" w:hAnsi="Times New Roman"/>
          <w:sz w:val="17"/>
          <w:szCs w:val="17"/>
          <w:color w:val="auto"/>
        </w:rPr>
        <w:t>As previously disclosed in the Current Report on Form 8-K filed by Legence Corp. (the “Company”) with the Securities and Exchange Commission on January 2, 2026 (the “Initial Form 8-K”), on January 2, 2026, the Company and its wholly owned subsidiary, Legence Subsidiary Holdings, LLC, consummated the previously announced acquisition of 100% of the equity interests of The Bowers Group, Inc. (“Bowers”).</w:t>
      </w:r>
    </w:p>
    <w:p>
      <w:pPr>
        <w:spacing w:after="0" w:line="15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Amendment No. 1 to the Initial Form 8-K (this “Amendment”) is being filed solely to amend the Initial Form 8-K to include the financial statements of a business acquired required by Item 9.01(a) of Form 8-K and the pro forma financial information required by Item 9.01(b) of Form 8-K. Except for the foregoing, this Amendment does not modify or update any other disclosure contained in the Initial Form 8-K.</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businesses or funds acquired.</w:t>
      </w:r>
    </w:p>
    <w:p>
      <w:pPr>
        <w:spacing w:after="0" w:line="11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of Bowers and subsidiaries as of and for the year ended September 30, 2025, and the notes related thereto, are filed herewith and attached hereto as Exhibit 99.1, and are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of the Company and subsidiaries as of September 30, 2025 and the unaudited pro forma condensed combined statements of operations of the Company and subsidiaries for the nine months ended September 30, 2025 and the year ended December 31, 2024, and the notes related thereto, are filed herewith and attached hereto as Exhibit 99.2, and are incorporated herein by reference.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ectPr>
          <w:pgSz w:w="11900" w:h="16838" w:orient="portrait"/>
          <w:cols w:equalWidth="0" w:num="1">
            <w:col w:w="11000"/>
          </w:cols>
          <w:pgMar w:left="440" w:top="293" w:right="459" w:bottom="1440" w:gutter="0" w:footer="0" w:header="0"/>
        </w:sectPr>
      </w:pPr>
    </w:p>
    <w:p>
      <w:pPr>
        <w:spacing w:after="0" w:line="248"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40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470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1" w:lineRule="exact"/>
        <w:rPr>
          <w:sz w:val="20"/>
          <w:szCs w:val="20"/>
          <w:color w:val="auto"/>
        </w:rPr>
      </w:pPr>
    </w:p>
    <w:p>
      <w:pPr>
        <w:sectPr>
          <w:pgSz w:w="11900" w:h="16838" w:orient="portrait"/>
          <w:cols w:equalWidth="0" w:num="2">
            <w:col w:w="4860" w:space="720"/>
            <w:col w:w="5420"/>
          </w:cols>
          <w:pgMar w:left="440" w:top="293" w:right="459" w:bottom="1440" w:gutter="0" w:footer="0" w:header="0"/>
          <w:type w:val="continuous"/>
        </w:sect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Lanigan Ryan, P.C. (independent auditor for Bowers).</w:t>
      </w:r>
    </w:p>
    <w:p>
      <w:pPr>
        <w:spacing w:after="0" w:line="117" w:lineRule="exact"/>
        <w:rPr>
          <w:sz w:val="20"/>
          <w:szCs w:val="20"/>
          <w:color w:val="auto"/>
        </w:rPr>
      </w:pPr>
    </w:p>
    <w:p>
      <w:pPr>
        <w:ind w:left="880" w:right="2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Audited consolidated financial statements of Bowers and subsidiaries as of and for the year ended September 30, 2025, and the notes related thereto.</w:t>
      </w:r>
    </w:p>
    <w:p>
      <w:pPr>
        <w:spacing w:after="0" w:line="54" w:lineRule="exact"/>
        <w:rPr>
          <w:sz w:val="20"/>
          <w:szCs w:val="20"/>
          <w:color w:val="auto"/>
        </w:rPr>
      </w:pPr>
    </w:p>
    <w:p>
      <w:pPr>
        <w:ind w:left="880" w:right="220" w:hanging="876"/>
        <w:spacing w:after="0" w:line="266" w:lineRule="auto"/>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Unaudited pro forma condensed combined balance sheet of the Company and subsidiaries as of September 30, 2025 and unaudited pro forma condensed combined statements of operations of the Company and subsidiaries for the nine months ended September 30, 2025 and the year ended December 31, 2024, and the notes related thereto.</w:t>
      </w:r>
    </w:p>
    <w:p>
      <w:pPr>
        <w:spacing w:after="0" w:line="6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LEGENCE CORP.</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18, 2026</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Butz</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Stephen Butz</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Current Report on Form 8-K/A and the Registration Statements on Form S-8 (Nos. 333-294093 and 333-290277) of Legence Corp. of our report dated December 19, 2025, with respect to the consolidated financial statements of The Bowers Group, Inc. and subsidiaries appearing in this Current Report on Form 8-K/A of Legence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Lanigan Ryan,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2026</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BOWERS GROUP,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2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Years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671195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714375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6880" w:type="dxa"/>
            <w:vAlign w:val="bottom"/>
          </w:tcPr>
          <w:p>
            <w:pPr>
              <w:jc w:val="right"/>
              <w:ind w:right="4452"/>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373"/>
        </w:trPr>
        <w:tc>
          <w:tcPr>
            <w:tcW w:w="4080" w:type="dxa"/>
            <w:vAlign w:val="bottom"/>
          </w:tcPr>
          <w:p>
            <w:pPr>
              <w:spacing w:after="0"/>
              <w:rPr>
                <w:sz w:val="24"/>
                <w:szCs w:val="24"/>
                <w:color w:val="auto"/>
              </w:rPr>
            </w:pPr>
          </w:p>
        </w:tc>
        <w:tc>
          <w:tcPr>
            <w:tcW w:w="68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Page</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1 -2</w:t>
            </w:r>
          </w:p>
        </w:tc>
      </w:tr>
      <w:tr>
        <w:trPr>
          <w:trHeight w:val="32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880" w:type="dxa"/>
            <w:vAlign w:val="bottom"/>
          </w:tcPr>
          <w:p>
            <w:pPr>
              <w:spacing w:after="0"/>
              <w:rPr>
                <w:sz w:val="24"/>
                <w:szCs w:val="24"/>
                <w:color w:val="auto"/>
              </w:rPr>
            </w:pPr>
          </w:p>
        </w:tc>
      </w:tr>
      <w:tr>
        <w:trPr>
          <w:trHeight w:val="30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retained earnings</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8 - 23</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11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71120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Bowers Group,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Beltsville, Maryland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The Bowers Group, Inc. and Subsidiaries, which comprise the consolidated balance sheets as of September 30, 2025 and 2024, and the related consolidated statements of income, retained earnings, and cash flows for the years then ended, and the related notes to the consolidated financial statements.</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Bowers Group, Inc. and Subsidiaries, as of September 30, 2025 and 2024, and the results of their operations and their cash flows for the years then ended in accordance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conducted our audits in accordance with auditing standards generally accepted in the United States of America. Our responsibilities under those standards are further described in the </w:t>
      </w:r>
      <w:r>
        <w:rPr>
          <w:rFonts w:ascii="Times New Roman" w:cs="Times New Roman" w:eastAsia="Times New Roman" w:hAnsi="Times New Roman"/>
          <w:sz w:val="18"/>
          <w:szCs w:val="18"/>
          <w:i w:val="1"/>
          <w:iCs w:val="1"/>
          <w:color w:val="auto"/>
        </w:rPr>
        <w:t>Auditors’ Responsibilities for the Audit of the Financial Statements</w:t>
      </w:r>
      <w:r>
        <w:rPr>
          <w:rFonts w:ascii="Times New Roman" w:cs="Times New Roman" w:eastAsia="Times New Roman" w:hAnsi="Times New Roman"/>
          <w:sz w:val="18"/>
          <w:szCs w:val="18"/>
          <w:color w:val="auto"/>
        </w:rPr>
        <w:t xml:space="preserve"> section of our report. We are required to be independent of The Bowers Group, Inc. and Subsidiaries,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Bowers Group, Inc. and Subsidiaries’ ability to continue as a going concern within one year after the date that the consolidated financial statements are available to be issued.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301.258.8900    ●   Fax: 301.258.1020    ●   LaniganRyan.com</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9841 Washingtonian Boulevard   Suite 300   Gaithersburg, MD 20878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94615</wp:posOffset>
            </wp:positionV>
            <wp:extent cx="682371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3710" cy="85725"/>
                    </a:xfrm>
                    <a:prstGeom prst="rect">
                      <a:avLst/>
                    </a:prstGeom>
                    <a:noFill/>
                  </pic:spPr>
                </pic:pic>
              </a:graphicData>
            </a:graphic>
          </wp:anchor>
        </w:drawing>
      </w:r>
    </w:p>
    <w:p>
      <w:pPr>
        <w:sectPr>
          <w:pgSz w:w="11900" w:h="16838" w:orient="portrait"/>
          <w:cols w:equalWidth="0" w:num="1">
            <w:col w:w="10980"/>
          </w:cols>
          <w:pgMar w:left="440" w:top="144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Auditors’ Responsibilities for the Audit of the Financial Statements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including omissions, are considered material if there is a substantial likelihood that, individually or in the aggregate, they would influence the judgment made by a reasonable user based on the consolidated financial statements.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3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130"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81"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Bowers Group, Inc. and Subsidiaries internal control. Accordingly, no such opinion is expressed.</w:t>
      </w:r>
    </w:p>
    <w:p>
      <w:pPr>
        <w:spacing w:after="0" w:line="81"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67" w:lineRule="exact"/>
        <w:rPr>
          <w:rFonts w:ascii="Times New Roman" w:cs="Times New Roman" w:eastAsia="Times New Roman" w:hAnsi="Times New Roman"/>
          <w:sz w:val="18"/>
          <w:szCs w:val="18"/>
          <w:color w:val="auto"/>
        </w:rPr>
      </w:pPr>
    </w:p>
    <w:p>
      <w:pPr>
        <w:ind w:left="960" w:right="4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Bowers Group, Inc. and Subsidiaries ability to continue as a going concern for a reasonable period of time.</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58559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55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Gaithersburg,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19, 2025</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56,985,828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65,015,816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receivables</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147,362,294</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77,964,997</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24,304,075</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9,969,396</w:t>
            </w: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Conditional retention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23,029,144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14,572,437</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at lower of cost (weighted average) or market</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2,674,502</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2,538,841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1,110,191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1,069,540</w:t>
            </w:r>
          </w:p>
        </w:tc>
      </w:tr>
      <w:tr>
        <w:trPr>
          <w:trHeight w:val="223"/>
        </w:trPr>
        <w:tc>
          <w:tcPr>
            <w:tcW w:w="8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255,466,034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171,131,027</w:t>
            </w:r>
          </w:p>
        </w:tc>
        <w:tc>
          <w:tcPr>
            <w:tcW w:w="6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6,735,138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6,343,572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17,035,822</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16,908,938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 deposits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640,288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deposit</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4,474,516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3,923,886</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121,467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125,913</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surrender value of officers’ life insurance</w:t>
            </w: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796,778</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629,347</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6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285,270,043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199,062,683</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are an integral part of these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maturities of operating leases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3,700,809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2,517,411</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60,820,183</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31,743,052</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Retentions payable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10,034,746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7,939,250</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124,013,029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72,451,827</w:t>
            </w: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conditional retention</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(44,270,093)</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(27,286,358)</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22,684,417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20,656,056</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1,130,000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163,552</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178,113,091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108,184,790</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 liability, less current maturities</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13,923,467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14,791,359</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192,036,558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122,976,149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$1 par value; 100,000 shares authorized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Voting - 9,100 shares issued and outstanding</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9,100</w:t>
            </w: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Nonvoting - 32,112 shares issued and outstanding</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32,112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3,375,729</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3,375,729</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89,816,544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72,669,593</w:t>
            </w:r>
          </w:p>
        </w:tc>
      </w:tr>
      <w:tr>
        <w:trPr>
          <w:trHeight w:val="230"/>
        </w:trPr>
        <w:tc>
          <w:tcPr>
            <w:tcW w:w="868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93,233,485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76,086,534</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285,270,043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199,062,683</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are an integral part of these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CEEFF"/>
            </w:tcBorders>
            <w:gridSpan w:val="2"/>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Percent</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Percent</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Earned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766,995,789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554,791,720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Cost of earned revenue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625,574,304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449,202,899</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141,421,485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105,588,821</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71,051,500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57,528,708</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70,369,985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48,060,113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2,473,767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2,697,615</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(7,083)</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(216,021)</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31,436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47,973</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71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72,868,105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50,589,680</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4,250,019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2,216,300</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68,618,086</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w:t>
            </w: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48,373,380</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8.7%</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are an integral part of these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RETAINED EARNINGS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r>
      <w:tr>
        <w:trPr>
          <w:trHeight w:val="209"/>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$ 72,669,593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$ 68,128,456</w:t>
            </w: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68,618,086</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48,373,380</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(51,471,135)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(43,832,243)</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$ 89,816,544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$ 72,669,593</w:t>
            </w:r>
          </w:p>
        </w:tc>
        <w:tc>
          <w:tcPr>
            <w:tcW w:w="12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are an integral part of these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4"/>
                <w:szCs w:val="14"/>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$ 68,618,086</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$ 48,373,380</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1,735,768</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1,549,599</w:t>
            </w: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Credit loss expense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97,124</w:t>
            </w:r>
          </w:p>
        </w:tc>
      </w:tr>
      <w:tr>
        <w:trPr>
          <w:trHeight w:val="216"/>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(12,739)</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(34,028)</w:t>
            </w: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non-cash operating lease adjustments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188,622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199,422</w:t>
            </w:r>
          </w:p>
        </w:tc>
      </w:tr>
      <w:tr>
        <w:trPr>
          <w:trHeight w:val="216"/>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Contract receivables</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(69,474,554)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17,525,929</w:t>
            </w:r>
          </w:p>
        </w:tc>
      </w:tr>
      <w:tr>
        <w:trPr>
          <w:trHeight w:val="216"/>
        </w:trPr>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receivables</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Inventories</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(135,661)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(201,724)</w:t>
            </w:r>
          </w:p>
        </w:tc>
      </w:tr>
      <w:tr>
        <w:trPr>
          <w:trHeight w:val="216"/>
        </w:trPr>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Contract assets</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(22,791,386)</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5,001,645</w:t>
            </w:r>
          </w:p>
        </w:tc>
      </w:tr>
      <w:tr>
        <w:trPr>
          <w:trHeight w:val="216"/>
        </w:trPr>
        <w:tc>
          <w:tcPr>
            <w:tcW w:w="8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Prepaid expenses</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(40,651)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(192,663)</w:t>
            </w:r>
          </w:p>
        </w:tc>
      </w:tr>
      <w:tr>
        <w:trPr>
          <w:trHeight w:val="216"/>
        </w:trPr>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4,446</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Tax deposit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(550,630)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(2,219,491)</w:t>
            </w:r>
          </w:p>
        </w:tc>
      </w:tr>
      <w:tr>
        <w:trPr>
          <w:trHeight w:val="216"/>
        </w:trPr>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Cash surrender value of officers’ life insurance</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(167,431)</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(143,834)</w:t>
            </w: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 and retentions payable</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31,172,627</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(7,522,073)</w:t>
            </w:r>
          </w:p>
        </w:tc>
      </w:tr>
      <w:tr>
        <w:trPr>
          <w:trHeight w:val="216"/>
        </w:trPr>
        <w:tc>
          <w:tcPr>
            <w:tcW w:w="8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Accrued liabilities</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2,028,361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1,981,175</w:t>
            </w:r>
          </w:p>
        </w:tc>
      </w:tr>
      <w:tr>
        <w:trPr>
          <w:trHeight w:val="216"/>
        </w:trPr>
        <w:tc>
          <w:tcPr>
            <w:tcW w:w="87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Contract liabilities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34,577,467</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19,374,353</w:t>
            </w:r>
          </w:p>
        </w:tc>
      </w:tr>
      <w:tr>
        <w:trPr>
          <w:trHeight w:val="216"/>
        </w:trPr>
        <w:tc>
          <w:tcPr>
            <w:tcW w:w="87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Income taxes payable</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966,448</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(1,926,010)</w:t>
            </w:r>
          </w:p>
        </w:tc>
      </w:tr>
      <w:tr>
        <w:trPr>
          <w:trHeight w:val="230"/>
        </w:trPr>
        <w:tc>
          <w:tcPr>
            <w:tcW w:w="874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46,196,030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81,912,804</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12,739</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60,788</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Deposits placed on property and equipment</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(640,288)</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(2,127,334)</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(3,074,522)</w:t>
            </w:r>
          </w:p>
        </w:tc>
      </w:tr>
      <w:tr>
        <w:trPr>
          <w:trHeight w:val="27"/>
        </w:trPr>
        <w:tc>
          <w:tcPr>
            <w:tcW w:w="87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(2,754,883)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(3,013,734)</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(4,833,333)</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(51,471,135)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(43,832,243)</w:t>
            </w:r>
          </w:p>
        </w:tc>
      </w:tr>
      <w:tr>
        <w:trPr>
          <w:trHeight w:val="27"/>
        </w:trPr>
        <w:tc>
          <w:tcPr>
            <w:tcW w:w="87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(51,471,135)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(48,665,576)</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(8,029,988)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30,233,494</w:t>
            </w:r>
          </w:p>
        </w:tc>
        <w:tc>
          <w:tcPr>
            <w:tcW w:w="120" w:type="dxa"/>
            <w:vAlign w:val="bottom"/>
          </w:tcPr>
          <w:p>
            <w:pPr>
              <w:spacing w:after="0"/>
              <w:rPr>
                <w:sz w:val="19"/>
                <w:szCs w:val="19"/>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65,015,816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34,782,322</w:t>
            </w: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$ 56,985,828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$ 65,015,816</w:t>
            </w:r>
          </w:p>
        </w:tc>
        <w:tc>
          <w:tcPr>
            <w:tcW w:w="12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Notes to Consolidated Financial Statements are an integral part of these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23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Summary of Significant Accounting Policies</w:t>
      </w:r>
    </w:p>
    <w:p>
      <w:pPr>
        <w:spacing w:after="0" w:line="119" w:lineRule="exact"/>
        <w:rPr>
          <w:sz w:val="20"/>
          <w:szCs w:val="20"/>
          <w:color w:val="auto"/>
        </w:rPr>
      </w:pPr>
    </w:p>
    <w:p>
      <w:pPr>
        <w:jc w:val="both"/>
        <w:ind w:left="980" w:right="1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Principles of Consolidation and Nature of Operation </w:t>
      </w:r>
      <w:r>
        <w:rPr>
          <w:rFonts w:ascii="Times New Roman" w:cs="Times New Roman" w:eastAsia="Times New Roman" w:hAnsi="Times New Roman"/>
          <w:sz w:val="17"/>
          <w:szCs w:val="17"/>
          <w:color w:val="auto"/>
        </w:rPr>
        <w:t>- The accompanying consolidated financial statements include the accounts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Bowers Group, Inc. and its wholly owned subsidiaries, W.E. Bowers &amp; Associates, Inc., W.E. Bowers, Inc. and The Bowers Automotive Group, LLC (Collectively, the Company). All significant intercompany transactions and balances have been eliminated in consolidation.</w:t>
      </w:r>
    </w:p>
    <w:p>
      <w:pPr>
        <w:spacing w:after="0" w:line="4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The Company constructs and maintains heating, air conditioning, and plumbing systems. Substantially all activity is located in the Washington, DC Metropolitan area. Certain aspects of the work are generally subcontracted out, including balancing and control work, and mechanical insulation work. The work is performed under fixed-price, gross maximum price, and time and material contracts with durations of typically less than three years.</w:t>
      </w:r>
    </w:p>
    <w:p>
      <w:pPr>
        <w:spacing w:after="0" w:line="72" w:lineRule="exact"/>
        <w:rPr>
          <w:sz w:val="20"/>
          <w:szCs w:val="20"/>
          <w:color w:val="auto"/>
        </w:rPr>
      </w:pPr>
    </w:p>
    <w:p>
      <w:pPr>
        <w:ind w:left="980" w:right="120"/>
        <w:spacing w:after="0" w:line="261" w:lineRule="auto"/>
        <w:rPr>
          <w:sz w:val="20"/>
          <w:szCs w:val="20"/>
          <w:color w:val="auto"/>
        </w:rPr>
      </w:pPr>
      <w:r>
        <w:rPr>
          <w:rFonts w:ascii="Times New Roman" w:cs="Times New Roman" w:eastAsia="Times New Roman" w:hAnsi="Times New Roman"/>
          <w:sz w:val="18"/>
          <w:szCs w:val="18"/>
          <w:color w:val="auto"/>
        </w:rPr>
        <w:t>W.E. Bowers &amp; Associates, Inc. concentrates on larger construction and renovation contracts, whereas W.E. Bowers, Inc. concentrates on smaller construction contracts as well as service and maintenance work. The Bowers Automotive Group, LLC’s primary purpose is to service the Company’s automotive equipment. Approximately 95% of the Company’s revenue is derived from construction contracts and 5% is derived from service and maintenance work.</w:t>
      </w:r>
    </w:p>
    <w:p>
      <w:pPr>
        <w:spacing w:after="0" w:line="2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recognizes revenue in a five-step model for recognizing revenue from contracts with customers as follows:</w:t>
      </w:r>
    </w:p>
    <w:p>
      <w:pPr>
        <w:spacing w:after="0" w:line="117" w:lineRule="exact"/>
        <w:rPr>
          <w:sz w:val="20"/>
          <w:szCs w:val="20"/>
          <w:color w:val="auto"/>
        </w:rPr>
      </w:pPr>
    </w:p>
    <w:p>
      <w:pPr>
        <w:ind w:left="2000" w:hanging="189"/>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w:t>
      </w:r>
    </w:p>
    <w:p>
      <w:pPr>
        <w:spacing w:after="0" w:line="117"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w:t>
      </w:r>
    </w:p>
    <w:p>
      <w:pPr>
        <w:spacing w:after="0" w:line="117"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w:t>
      </w:r>
    </w:p>
    <w:p>
      <w:pPr>
        <w:spacing w:after="0" w:line="117" w:lineRule="exact"/>
        <w:rPr>
          <w:rFonts w:ascii="Times New Roman" w:cs="Times New Roman" w:eastAsia="Times New Roman" w:hAnsi="Times New Roman"/>
          <w:sz w:val="18"/>
          <w:szCs w:val="18"/>
          <w:color w:val="auto"/>
        </w:rPr>
      </w:pPr>
    </w:p>
    <w:p>
      <w:pPr>
        <w:ind w:left="2000" w:hanging="189"/>
        <w:spacing w:after="0"/>
        <w:tabs>
          <w:tab w:leader="none" w:pos="2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w:t>
      </w:r>
    </w:p>
    <w:p>
      <w:pPr>
        <w:spacing w:after="0" w:line="115" w:lineRule="exact"/>
        <w:rPr>
          <w:sz w:val="20"/>
          <w:szCs w:val="20"/>
          <w:color w:val="auto"/>
        </w:rPr>
      </w:pPr>
    </w:p>
    <w:p>
      <w:pPr>
        <w:ind w:left="980"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Contract Combination - </w:t>
      </w:r>
      <w:r>
        <w:rPr>
          <w:rFonts w:ascii="Times New Roman" w:cs="Times New Roman" w:eastAsia="Times New Roman" w:hAnsi="Times New Roman"/>
          <w:sz w:val="18"/>
          <w:szCs w:val="18"/>
          <w:color w:val="auto"/>
        </w:rPr>
        <w:t>To determine proper revenue recognition, the Company evaluates whether two or more contracts should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and accounted for as a single performance obligation and whether a combined or single contract should be accounted for as more than one performance obligation. This evaluation requires significant judgment, and the decision to combine contracts or separate a combined or single contract into multiple performance obligations could change the amount of revenue and profit recorded in a given period.</w:t>
      </w:r>
    </w:p>
    <w:p>
      <w:pPr>
        <w:spacing w:after="0" w:line="75" w:lineRule="exact"/>
        <w:rPr>
          <w:sz w:val="20"/>
          <w:szCs w:val="20"/>
          <w:color w:val="auto"/>
        </w:rPr>
      </w:pPr>
    </w:p>
    <w:p>
      <w:pPr>
        <w:ind w:left="98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 </w:t>
      </w:r>
      <w:r>
        <w:rPr>
          <w:rFonts w:ascii="Times New Roman" w:cs="Times New Roman" w:eastAsia="Times New Roman" w:hAnsi="Times New Roman"/>
          <w:sz w:val="18"/>
          <w:szCs w:val="18"/>
          <w:color w:val="auto"/>
        </w:rPr>
        <w:t>A performance obligation is a promise in a contract to transfer a distinct good or service to the customer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 of account in recognizing revenue from contracts with customers. A contract’s transaction price is allocated to each distinct performance obligation and recognized as revenue when, or as, the performance obligation is satisfied.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ind w:left="98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Transaction Price and Variable Consideration - </w:t>
      </w:r>
      <w:r>
        <w:rPr>
          <w:rFonts w:ascii="Times New Roman" w:cs="Times New Roman" w:eastAsia="Times New Roman" w:hAnsi="Times New Roman"/>
          <w:sz w:val="18"/>
          <w:szCs w:val="18"/>
          <w:color w:val="auto"/>
        </w:rPr>
        <w:t>The nature of the Company’s contracts gives rise to several types of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including claims and unpriced change orders; awards and incentive fees; and liquidated damages and penalties. The Company recognizes revenue for variable consideration when it is probable that a significant reversal in the amount of cumulative revenue recognized will not occur. The Company estimates the amount of revenue to be recognized on variable consideration using the expected value or the most likely amount method, whichever is expected to better predict the amount.</w:t>
      </w:r>
    </w:p>
    <w:p>
      <w:pPr>
        <w:spacing w:after="0" w:line="77"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Estimates of variable consideration and determination of whether to include estimated amounts in the transaction price are based largely on assessment of legal enforceability, the Company’s performance, and all information (historical, current, and forecasted) that is reasonably available to the Company.</w:t>
      </w:r>
    </w:p>
    <w:p>
      <w:pPr>
        <w:spacing w:after="0" w:line="66" w:lineRule="exact"/>
        <w:rPr>
          <w:sz w:val="20"/>
          <w:szCs w:val="20"/>
          <w:color w:val="auto"/>
        </w:rPr>
      </w:pPr>
    </w:p>
    <w:p>
      <w:pPr>
        <w:ind w:left="98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Contract Estimates - </w:t>
      </w:r>
      <w:r>
        <w:rPr>
          <w:rFonts w:ascii="Times New Roman" w:cs="Times New Roman" w:eastAsia="Times New Roman" w:hAnsi="Times New Roman"/>
          <w:sz w:val="18"/>
          <w:szCs w:val="18"/>
          <w:color w:val="auto"/>
        </w:rPr>
        <w:t>Due to the nature of the Company’s performance obligations, the estimation of total revenue and cost at completion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many variables and requires significant judgment. Management must make assumptions and estimates regarding labor productivity and availability, the complexity of the work to be performed, the cost and availability of materials, the performance of subcontractors, and the availability and timing of funding from the customer, among other variables. As a significant change in one or more of these estimates could affect the profitability of contracts, the Company reviews and updates contract-related estimates regularly through a review process in which management reviews the progress and execution of performance obligations and the estimated cost at completion.</w:t>
      </w:r>
    </w:p>
    <w:p>
      <w:pPr>
        <w:spacing w:after="0" w:line="77" w:lineRule="exact"/>
        <w:rPr>
          <w:sz w:val="20"/>
          <w:szCs w:val="20"/>
          <w:color w:val="auto"/>
        </w:rPr>
      </w:pPr>
    </w:p>
    <w:p>
      <w:pPr>
        <w:ind w:left="980" w:right="420"/>
        <w:spacing w:after="0" w:line="282" w:lineRule="auto"/>
        <w:rPr>
          <w:sz w:val="20"/>
          <w:szCs w:val="20"/>
          <w:color w:val="auto"/>
        </w:rPr>
      </w:pPr>
      <w:r>
        <w:rPr>
          <w:rFonts w:ascii="Times New Roman" w:cs="Times New Roman" w:eastAsia="Times New Roman" w:hAnsi="Times New Roman"/>
          <w:sz w:val="18"/>
          <w:szCs w:val="18"/>
          <w:color w:val="auto"/>
        </w:rPr>
        <w:t>As part of this process, management reviews information including, but not limited to, any outstanding key contract matters, progress toward completion and the related program schedule and the related changes in estimates of revenue and costs.</w:t>
      </w:r>
    </w:p>
    <w:p>
      <w:pPr>
        <w:spacing w:after="0" w:line="54" w:lineRule="exact"/>
        <w:rPr>
          <w:sz w:val="20"/>
          <w:szCs w:val="20"/>
          <w:color w:val="auto"/>
        </w:rPr>
      </w:pPr>
    </w:p>
    <w:p>
      <w:pPr>
        <w:ind w:left="980" w:right="100"/>
        <w:spacing w:after="0" w:line="258" w:lineRule="auto"/>
        <w:rPr>
          <w:sz w:val="20"/>
          <w:szCs w:val="20"/>
          <w:color w:val="auto"/>
        </w:rPr>
      </w:pPr>
      <w:r>
        <w:rPr>
          <w:rFonts w:ascii="Times New Roman" w:cs="Times New Roman" w:eastAsia="Times New Roman" w:hAnsi="Times New Roman"/>
          <w:sz w:val="18"/>
          <w:szCs w:val="18"/>
          <w:color w:val="auto"/>
        </w:rPr>
        <w:t>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contract estimates indicate an anticipated loss on a contract, the projected loss is recognized in full, including the reversal of any previously recognized profit, in the period it is identified and recognized as an accrued loss on uncompleted contracts on the balance sheets.</w:t>
      </w:r>
    </w:p>
    <w:p>
      <w:pPr>
        <w:spacing w:after="0" w:line="73" w:lineRule="exact"/>
        <w:rPr>
          <w:sz w:val="20"/>
          <w:szCs w:val="20"/>
          <w:color w:val="auto"/>
        </w:rPr>
      </w:pPr>
    </w:p>
    <w:p>
      <w:pPr>
        <w:ind w:left="98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Modifications - </w:t>
      </w:r>
      <w:r>
        <w:rPr>
          <w:rFonts w:ascii="Times New Roman" w:cs="Times New Roman" w:eastAsia="Times New Roman" w:hAnsi="Times New Roman"/>
          <w:sz w:val="18"/>
          <w:szCs w:val="18"/>
          <w:color w:val="auto"/>
        </w:rPr>
        <w:t>Contracts are often modified due to changes in contract specifications and requirements. The Company considers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modifications to exist when the modification either creates new or changes the existing enforceable rights and obligations. Most contract modifications are for goods or services that are not distinct from existing contracts due to the significant integration provided in the context of the contract; thus, these are accounted for as if they were part of the original contract. The effect of a contract modification on the transaction price, and the Company’s measure of progress for the performance obligation to which it relates, is recognized as an adjustment to revenue (either as an increase or a reduction) on a cumulative catch-up basis.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ind w:left="980" w:right="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 Modifications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The Company accounts for contract modifications as a separate contract when the modification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the promise to deliver additional goods or services that are distinct and the increase in price of the contract is for the same amount as the stand-alone selling price of the additional goods or services included in the modification.</w:t>
      </w:r>
    </w:p>
    <w:p>
      <w:pPr>
        <w:spacing w:after="0" w:line="65" w:lineRule="exact"/>
        <w:rPr>
          <w:sz w:val="20"/>
          <w:szCs w:val="20"/>
          <w:color w:val="auto"/>
        </w:rPr>
      </w:pPr>
    </w:p>
    <w:p>
      <w:pPr>
        <w:ind w:left="980"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Construction Contracts - </w:t>
      </w:r>
      <w:r>
        <w:rPr>
          <w:rFonts w:ascii="Times New Roman" w:cs="Times New Roman" w:eastAsia="Times New Roman" w:hAnsi="Times New Roman"/>
          <w:sz w:val="17"/>
          <w:szCs w:val="17"/>
          <w:color w:val="auto"/>
        </w:rPr>
        <w:t>The Company recognizes revenue on construction contracts over time; as performance obligations are satisfied,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due to the continuous transfer of control to the customer. The customer typically controls the work in process, as evidenced either by contractual termination clauses or by the Company’s right to payment for work performed to date plus a reasonable profit to deliver products or services that do not have an alternative use to the Company. The Company’s construction contracts are generally accounted for as a single performance obligation, since the Company is providing a significant service of integrating components into a single project.</w:t>
      </w:r>
    </w:p>
    <w:p>
      <w:pPr>
        <w:spacing w:after="0" w:line="62" w:lineRule="exact"/>
        <w:rPr>
          <w:sz w:val="20"/>
          <w:szCs w:val="20"/>
          <w:color w:val="auto"/>
        </w:rPr>
      </w:pPr>
    </w:p>
    <w:p>
      <w:pPr>
        <w:ind w:left="980" w:right="80"/>
        <w:spacing w:after="0" w:line="256" w:lineRule="auto"/>
        <w:rPr>
          <w:sz w:val="20"/>
          <w:szCs w:val="20"/>
          <w:color w:val="auto"/>
        </w:rPr>
      </w:pPr>
      <w:r>
        <w:rPr>
          <w:rFonts w:ascii="Times New Roman" w:cs="Times New Roman" w:eastAsia="Times New Roman" w:hAnsi="Times New Roman"/>
          <w:sz w:val="18"/>
          <w:szCs w:val="18"/>
          <w:color w:val="auto"/>
        </w:rPr>
        <w:t>The Company recognizes revenue using a cost-based input method, by which the Company uses actual costs incurred relative to total estimated contract costs to determine, as a percentage, progress toward contract completion. This percentage is applied to the transaction price to determine the amount of revenue to recognize. Costs that do not depict progress toward satisfaction of the performance obligation are included in contract costs with revenue recognized to the extent of such costs without any profit and include items such as uninstalled materials and re-work. The Company believes the cost-based input method is the most faithful depiction of performance, because it directly measures the value of the services transferred to the customer.</w:t>
      </w:r>
    </w:p>
    <w:p>
      <w:pPr>
        <w:spacing w:after="0" w:line="79" w:lineRule="exact"/>
        <w:rPr>
          <w:sz w:val="20"/>
          <w:szCs w:val="20"/>
          <w:color w:val="auto"/>
        </w:rPr>
      </w:pPr>
    </w:p>
    <w:p>
      <w:pPr>
        <w:ind w:left="980" w:right="300"/>
        <w:spacing w:after="0" w:line="266" w:lineRule="auto"/>
        <w:rPr>
          <w:sz w:val="20"/>
          <w:szCs w:val="20"/>
          <w:color w:val="auto"/>
        </w:rPr>
      </w:pPr>
      <w:r>
        <w:rPr>
          <w:rFonts w:ascii="Times New Roman" w:cs="Times New Roman" w:eastAsia="Times New Roman" w:hAnsi="Times New Roman"/>
          <w:sz w:val="18"/>
          <w:szCs w:val="18"/>
          <w:color w:val="auto"/>
        </w:rPr>
        <w:t>Because the Company almost always acts as a principal in their contracts, the Company recognizes revenue gross. The Company is considered the principal because the Company controls the contractually specified goods and services before they are transferred to the customer.</w:t>
      </w:r>
    </w:p>
    <w:p>
      <w:pPr>
        <w:spacing w:after="0" w:line="66"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 Contracts - </w:t>
      </w:r>
      <w:r>
        <w:rPr>
          <w:rFonts w:ascii="Times New Roman" w:cs="Times New Roman" w:eastAsia="Times New Roman" w:hAnsi="Times New Roman"/>
          <w:sz w:val="18"/>
          <w:szCs w:val="18"/>
          <w:color w:val="auto"/>
        </w:rPr>
        <w:t>For service contracts (including maintenance contracts) where the Company has the right to consideration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in an amount that corresponds directly with the value received by the customer based on performance to date, revenue is recognized when services are performed and contractually billable. For all other types of service contracts, revenue is recognized over time generally using the cost-to-cost method (e.g., costs incurred to date relative to total estimated costs at completion) to measure progress because it best depicts the transfer of value to the customer.</w:t>
      </w:r>
    </w:p>
    <w:p>
      <w:pPr>
        <w:spacing w:after="0" w:line="75" w:lineRule="exact"/>
        <w:rPr>
          <w:sz w:val="20"/>
          <w:szCs w:val="20"/>
          <w:color w:val="auto"/>
        </w:rPr>
      </w:pPr>
    </w:p>
    <w:p>
      <w:pPr>
        <w:jc w:val="both"/>
        <w:ind w:left="980"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and Expense Recognition - </w:t>
      </w:r>
      <w:r>
        <w:rPr>
          <w:rFonts w:ascii="Times New Roman" w:cs="Times New Roman" w:eastAsia="Times New Roman" w:hAnsi="Times New Roman"/>
          <w:sz w:val="18"/>
          <w:szCs w:val="18"/>
          <w:color w:val="auto"/>
        </w:rPr>
        <w:t>Contract costs include all direct materials, subcontract costs, direct labor costs and those indirect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contract performance, such as indirect labor, payroll taxes, fringe benefits, equipment rental and insurance. Indirect costs are allocated to contracts based on direct labor.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Other significant accounting policies are as follows:</w:t>
      </w:r>
    </w:p>
    <w:p>
      <w:pPr>
        <w:spacing w:after="0" w:line="119" w:lineRule="exact"/>
        <w:rPr>
          <w:sz w:val="20"/>
          <w:szCs w:val="20"/>
          <w:color w:val="auto"/>
        </w:rPr>
      </w:pPr>
    </w:p>
    <w:p>
      <w:pPr>
        <w:ind w:left="142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in Consolidated Financial Statements </w:t>
      </w:r>
      <w:r>
        <w:rPr>
          <w:rFonts w:ascii="Times New Roman" w:cs="Times New Roman" w:eastAsia="Times New Roman" w:hAnsi="Times New Roman"/>
          <w:sz w:val="18"/>
          <w:szCs w:val="18"/>
          <w:color w:val="auto"/>
        </w:rPr>
        <w:t>- The preparation of consolidated financial statements in conformity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It is reasonably possible that changes may occur in the near term that would affect management’s estimates with respect to the percentage of completion.</w:t>
      </w:r>
    </w:p>
    <w:p>
      <w:pPr>
        <w:spacing w:after="0" w:line="74" w:lineRule="exact"/>
        <w:rPr>
          <w:sz w:val="20"/>
          <w:szCs w:val="20"/>
          <w:color w:val="auto"/>
        </w:rPr>
      </w:pPr>
    </w:p>
    <w:p>
      <w:pPr>
        <w:ind w:left="1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Cycle </w:t>
      </w:r>
      <w:r>
        <w:rPr>
          <w:rFonts w:ascii="Times New Roman" w:cs="Times New Roman" w:eastAsia="Times New Roman" w:hAnsi="Times New Roman"/>
          <w:sz w:val="18"/>
          <w:szCs w:val="18"/>
          <w:color w:val="auto"/>
        </w:rPr>
        <w:t>- The length of the Company’s contracts varies but is typically less than three years. Assets and liabilities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contracts are included in current assets and current liabilities in the accompanying consolidated balance sheets, as they will be liquidated in the normal course of contract completion.</w:t>
      </w:r>
    </w:p>
    <w:p>
      <w:pPr>
        <w:spacing w:after="0" w:line="65" w:lineRule="exact"/>
        <w:rPr>
          <w:sz w:val="20"/>
          <w:szCs w:val="20"/>
          <w:color w:val="auto"/>
        </w:rPr>
      </w:pPr>
    </w:p>
    <w:p>
      <w:pPr>
        <w:ind w:left="142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a maturity of three months or less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acquisition to be cash equivalents.</w:t>
      </w:r>
    </w:p>
    <w:p>
      <w:pPr>
        <w:spacing w:after="0" w:line="50" w:lineRule="exact"/>
        <w:rPr>
          <w:sz w:val="20"/>
          <w:szCs w:val="20"/>
          <w:color w:val="auto"/>
        </w:rPr>
      </w:pPr>
    </w:p>
    <w:p>
      <w:pPr>
        <w:jc w:val="both"/>
        <w:ind w:left="14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Contracts Receivable </w:t>
      </w:r>
      <w:r>
        <w:rPr>
          <w:rFonts w:ascii="Times New Roman" w:cs="Times New Roman" w:eastAsia="Times New Roman" w:hAnsi="Times New Roman"/>
          <w:sz w:val="18"/>
          <w:szCs w:val="18"/>
          <w:color w:val="auto"/>
        </w:rPr>
        <w:t>- Contracts receivable include billed and unbilled amounts for services provided to customers for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has an unconditional right to payment. Billed and unbilled amounts for which payment is contingent on anything other than the passage of time are included in contract assets and contract liabilities.</w:t>
      </w:r>
    </w:p>
    <w:p>
      <w:pPr>
        <w:spacing w:after="0" w:line="67" w:lineRule="exact"/>
        <w:rPr>
          <w:sz w:val="20"/>
          <w:szCs w:val="20"/>
          <w:color w:val="auto"/>
        </w:rPr>
      </w:pPr>
    </w:p>
    <w:p>
      <w:pPr>
        <w:ind w:left="1420" w:right="180"/>
        <w:spacing w:after="0" w:line="256" w:lineRule="auto"/>
        <w:rPr>
          <w:sz w:val="20"/>
          <w:szCs w:val="20"/>
          <w:color w:val="auto"/>
        </w:rPr>
      </w:pPr>
      <w:r>
        <w:rPr>
          <w:rFonts w:ascii="Times New Roman" w:cs="Times New Roman" w:eastAsia="Times New Roman" w:hAnsi="Times New Roman"/>
          <w:sz w:val="18"/>
          <w:szCs w:val="18"/>
          <w:color w:val="auto"/>
        </w:rPr>
        <w:t>The Company’s construction contracts may include retention provisions. Retention represents amounts withheld from billings by customers until work is substantially complete (or until certain milestones are reached, or both) to ensure that obligations are satisfied under the contract. When payment of the retention is contingent upon the Company fulfilling its obligations under the contract it does not meet the criteria to be included in contracts receivable and remains in contract assets and contract liabilities. Retention for which the Company has an unconditional right to payment that is only subject to the passage of time are included in contracts receivable.</w:t>
      </w:r>
    </w:p>
    <w:p>
      <w:pPr>
        <w:spacing w:after="0" w:line="79" w:lineRule="exact"/>
        <w:rPr>
          <w:sz w:val="20"/>
          <w:szCs w:val="20"/>
          <w:color w:val="auto"/>
        </w:rPr>
      </w:pPr>
    </w:p>
    <w:p>
      <w:pPr>
        <w:ind w:left="1420" w:right="80"/>
        <w:spacing w:after="0" w:line="258" w:lineRule="auto"/>
        <w:rPr>
          <w:sz w:val="20"/>
          <w:szCs w:val="20"/>
          <w:color w:val="auto"/>
        </w:rPr>
      </w:pPr>
      <w:r>
        <w:rPr>
          <w:rFonts w:ascii="Times New Roman" w:cs="Times New Roman" w:eastAsia="Times New Roman" w:hAnsi="Times New Roman"/>
          <w:sz w:val="18"/>
          <w:szCs w:val="18"/>
          <w:color w:val="auto"/>
        </w:rPr>
        <w:t>The Company typically does not include extended payment terms in its contracts with customers. Construction contracts where the Company performs as a subcontractor may contain “pay when paid” or “pay if paid” provisions that allow the general contractor to hold payment until they have received payment from the owner related to the work performed. Because these provisions do not impose any additional obligations on the Company (i.e., there are no conditions remaining to fulfill to receive payment), the Company considers receivables billed under these provisions to be subject only to the passage of time.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66"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ind w:left="1420"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Contracts Receivable </w:t>
      </w:r>
      <w:r>
        <w:rPr>
          <w:rFonts w:ascii="Times New Roman" w:cs="Times New Roman" w:eastAsia="Times New Roman" w:hAnsi="Times New Roman"/>
          <w:sz w:val="18"/>
          <w:szCs w:val="18"/>
          <w:color w:val="auto"/>
        </w:rPr>
        <w:t>(continued) - The Company recognizes an allowance for losses on contracts receivable in an amount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expected credit losses. The estimation of the allowance is based on an analysis of historical loss experience, current receivables aging, and management’s assessment of current conditions, as well as an assessment of specific identifiable customer accounts considered at risk or uncollectible. The Company has elected a practical expedient to assume that current conditions as of the balance sheet date do not change for the remaining life of the asset. The Company assesses collectability by pooling receivables where similar characteristics exist and evaluates receivables individually when specific customer balances no longer share those risk characteristics and are considered at risk or uncollectible. The expense associated with the allowance for expected credit losses is recognized in general and administrative expenses.</w:t>
      </w:r>
    </w:p>
    <w:p>
      <w:pPr>
        <w:spacing w:after="0" w:line="77" w:lineRule="exact"/>
        <w:rPr>
          <w:sz w:val="20"/>
          <w:szCs w:val="20"/>
          <w:color w:val="auto"/>
        </w:rPr>
      </w:pPr>
    </w:p>
    <w:p>
      <w:pPr>
        <w:ind w:left="142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Contract Assets and Contract Liabilities </w:t>
      </w:r>
      <w:r>
        <w:rPr>
          <w:rFonts w:ascii="Times New Roman" w:cs="Times New Roman" w:eastAsia="Times New Roman" w:hAnsi="Times New Roman"/>
          <w:sz w:val="18"/>
          <w:szCs w:val="18"/>
          <w:color w:val="auto"/>
        </w:rPr>
        <w:t>– The timing of when the Company bills their customers on long-term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is generally dependent upon agreed-upon contractual terms, which may include milestone billings based on the completion of certain phases of the work, or when services are provided. When as a result of contingencies, billings cannot occur until after the related revenue has been recognized, the result is in unbilled revenue, which is included in contract assets. Additionally, the Company may receive advances or deposits from customers before revenue is recognized, resulting in deferred revenue, which is included in contract liabilities.</w:t>
      </w:r>
    </w:p>
    <w:p>
      <w:pPr>
        <w:spacing w:after="0" w:line="76" w:lineRule="exact"/>
        <w:rPr>
          <w:sz w:val="20"/>
          <w:szCs w:val="20"/>
          <w:color w:val="auto"/>
        </w:rPr>
      </w:pPr>
    </w:p>
    <w:p>
      <w:pPr>
        <w:ind w:left="1420" w:right="40"/>
        <w:spacing w:after="0" w:line="266" w:lineRule="auto"/>
        <w:rPr>
          <w:sz w:val="20"/>
          <w:szCs w:val="20"/>
          <w:color w:val="auto"/>
        </w:rPr>
      </w:pPr>
      <w:r>
        <w:rPr>
          <w:rFonts w:ascii="Times New Roman" w:cs="Times New Roman" w:eastAsia="Times New Roman" w:hAnsi="Times New Roman"/>
          <w:sz w:val="18"/>
          <w:szCs w:val="18"/>
          <w:color w:val="auto"/>
        </w:rPr>
        <w:t>Retention for which the Company has an unconditional right to payment that is only subject to the passage of time are classified as contracts receivable. Retention subject to conditions other than the passage of time do not meet the definition of a receivable and are therefore included in contract assets and contract liabilities, as determined on a contract-by-contract basis.</w:t>
      </w:r>
    </w:p>
    <w:p>
      <w:pPr>
        <w:spacing w:after="0" w:line="68" w:lineRule="exact"/>
        <w:rPr>
          <w:sz w:val="20"/>
          <w:szCs w:val="20"/>
          <w:color w:val="auto"/>
        </w:rPr>
      </w:pPr>
    </w:p>
    <w:p>
      <w:pPr>
        <w:ind w:left="1420"/>
        <w:spacing w:after="0" w:line="258" w:lineRule="auto"/>
        <w:rPr>
          <w:sz w:val="20"/>
          <w:szCs w:val="20"/>
          <w:color w:val="auto"/>
        </w:rPr>
      </w:pPr>
      <w:r>
        <w:rPr>
          <w:rFonts w:ascii="Times New Roman" w:cs="Times New Roman" w:eastAsia="Times New Roman" w:hAnsi="Times New Roman"/>
          <w:sz w:val="18"/>
          <w:szCs w:val="18"/>
          <w:color w:val="auto"/>
        </w:rPr>
        <w:t>Contract assets represent revenues recognized in excess of amounts paid or payable (contract receivables) to the Company on uncompleted contracts. Contract liabilities represent the Company’s obligation to perform on uncompleted contracts with customers for which the Company has received payment or for which contract receivables are outstanding. The beginning of the year contract assets for 2024 and 2023 were $24,541,833 and $29,543,478, respectively. The beginning of the year contract liabilities for 2024 and 2023 were $(45,165,469) and $(25,791,116), respectively.</w:t>
      </w:r>
    </w:p>
    <w:p>
      <w:pPr>
        <w:spacing w:after="0" w:line="73" w:lineRule="exact"/>
        <w:rPr>
          <w:sz w:val="20"/>
          <w:szCs w:val="20"/>
          <w:color w:val="auto"/>
        </w:rPr>
      </w:pPr>
    </w:p>
    <w:p>
      <w:pPr>
        <w:ind w:left="142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Reclassification of Prior Year Contract Assets and Contract Liabilities </w:t>
      </w:r>
      <w:r>
        <w:rPr>
          <w:rFonts w:ascii="Times New Roman" w:cs="Times New Roman" w:eastAsia="Times New Roman" w:hAnsi="Times New Roman"/>
          <w:sz w:val="18"/>
          <w:szCs w:val="18"/>
          <w:color w:val="auto"/>
        </w:rPr>
        <w:t>- As noted above, contract assets and contract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on a contract-by-contract basis. In previous years all conditional retention receivable were reported as contract assets, rather than being netted with contract liabilities related to the specific contract. The prior year contract assets and contract liabilities have been reclassified to present contract assets and contract liabilities on a contract-by-contract basis.</w:t>
      </w:r>
    </w:p>
    <w:p>
      <w:pPr>
        <w:spacing w:after="0" w:line="72" w:lineRule="exact"/>
        <w:rPr>
          <w:sz w:val="20"/>
          <w:szCs w:val="20"/>
          <w:color w:val="auto"/>
        </w:rPr>
      </w:pPr>
    </w:p>
    <w:p>
      <w:pPr>
        <w:ind w:left="1420" w:right="5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 A lease contract conveys the right to use an underlying asset for a period of time in exchange for consideration.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the Company determines whether a contract contains a lease by determining if there is an identified asset and if the contract conveys the right to control the use of the identified asset over a period of time in exchange for consideration.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jc w:val="both"/>
        <w:ind w:left="1420"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(continued) - At lease commencement, the Company measures and records a lease liability equal to the present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lease payments, generally using the risk-free rate determined using a period comparable with that of the lease term for all asset classes.</w:t>
      </w: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 the lease commencement date, the Company records a right-of-use asset consisting of the following:</w:t>
      </w:r>
    </w:p>
    <w:p>
      <w:pPr>
        <w:spacing w:after="0" w:line="131" w:lineRule="exact"/>
        <w:rPr>
          <w:sz w:val="20"/>
          <w:szCs w:val="20"/>
          <w:color w:val="auto"/>
        </w:rPr>
      </w:pPr>
    </w:p>
    <w:p>
      <w:pPr>
        <w:ind w:left="2420" w:hanging="332"/>
        <w:spacing w:after="0"/>
        <w:tabs>
          <w:tab w:leader="none" w:pos="2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initial measurement of the lease liability;</w:t>
      </w:r>
    </w:p>
    <w:p>
      <w:pPr>
        <w:spacing w:after="0" w:line="130"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payments made at or before the commencement date, minus any lease incentives received; and</w:t>
      </w:r>
    </w:p>
    <w:p>
      <w:pPr>
        <w:spacing w:after="0" w:line="130"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direct costs incurred.</w:t>
      </w:r>
    </w:p>
    <w:p>
      <w:pPr>
        <w:spacing w:after="0" w:line="117" w:lineRule="exact"/>
        <w:rPr>
          <w:sz w:val="20"/>
          <w:szCs w:val="20"/>
          <w:color w:val="auto"/>
        </w:rPr>
      </w:pPr>
    </w:p>
    <w:p>
      <w:pPr>
        <w:jc w:val="both"/>
        <w:ind w:left="1420"/>
        <w:spacing w:after="0" w:line="266" w:lineRule="auto"/>
        <w:rPr>
          <w:sz w:val="20"/>
          <w:szCs w:val="20"/>
          <w:color w:val="auto"/>
        </w:rPr>
      </w:pPr>
      <w:r>
        <w:rPr>
          <w:rFonts w:ascii="Times New Roman" w:cs="Times New Roman" w:eastAsia="Times New Roman" w:hAnsi="Times New Roman"/>
          <w:sz w:val="18"/>
          <w:szCs w:val="18"/>
          <w:color w:val="auto"/>
        </w:rPr>
        <w:t>The Company assesses the lease options for individual leases and generally considers the base term to be the term of lease contracts. The Company has elected to combine lease and non-lease components for all asset classes. A policy to not recognize the right-of-use assets and lease liabilities for short-term leases has been adopted. The leases are further described in Note 7.</w:t>
      </w:r>
    </w:p>
    <w:p>
      <w:pPr>
        <w:spacing w:after="0" w:line="66" w:lineRule="exact"/>
        <w:rPr>
          <w:sz w:val="20"/>
          <w:szCs w:val="20"/>
          <w:color w:val="auto"/>
        </w:rPr>
      </w:pPr>
    </w:p>
    <w:p>
      <w:pPr>
        <w:ind w:left="14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Warranties - </w:t>
      </w:r>
      <w:r>
        <w:rPr>
          <w:rFonts w:ascii="Times New Roman" w:cs="Times New Roman" w:eastAsia="Times New Roman" w:hAnsi="Times New Roman"/>
          <w:sz w:val="18"/>
          <w:szCs w:val="18"/>
          <w:color w:val="auto"/>
        </w:rPr>
        <w:t>For construction contracts, the Company provides a two-year warranty covering defects in workmanship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two-year warranty covering installed materials when the latter are not covered by manufacturer warranties. The Company provides a one-year warranty on labor and materials on repair and maintenance contracts, excluding leak repairs, for which no warranty is provided. A reserve for warranty costs is estimated and recorded based upon the historical level of warranty claims and management’s estimate of future costs. The Company has not accrued any amount for estimated future warranty costs as of both September 30, 2025 and 2024.</w:t>
      </w:r>
    </w:p>
    <w:p>
      <w:pPr>
        <w:spacing w:after="0" w:line="74" w:lineRule="exact"/>
        <w:rPr>
          <w:sz w:val="20"/>
          <w:szCs w:val="20"/>
          <w:color w:val="auto"/>
        </w:rPr>
      </w:pPr>
    </w:p>
    <w:p>
      <w:pPr>
        <w:jc w:val="both"/>
        <w:ind w:left="1420"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Property and equipment are recorded at cost and depreciated over their estimated useful lives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three to ten years using the straight-line method. Leasehold improvements are amortized over their remaining expected lease terms. Depreciation and amortization expense was $1,735,768 and $1,549,599 for the years ended September 30, 2025 and 2024, respectively.</w:t>
      </w:r>
    </w:p>
    <w:p>
      <w:pPr>
        <w:spacing w:after="0" w:line="72" w:lineRule="exact"/>
        <w:rPr>
          <w:sz w:val="20"/>
          <w:szCs w:val="20"/>
          <w:color w:val="auto"/>
        </w:rPr>
      </w:pPr>
    </w:p>
    <w:p>
      <w:pPr>
        <w:ind w:left="1420"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Advertising Costs </w:t>
      </w:r>
      <w:r>
        <w:rPr>
          <w:rFonts w:ascii="Times New Roman" w:cs="Times New Roman" w:eastAsia="Times New Roman" w:hAnsi="Times New Roman"/>
          <w:sz w:val="18"/>
          <w:szCs w:val="18"/>
          <w:color w:val="auto"/>
        </w:rPr>
        <w:t>- The Company expenses advertising costs as they are incurred. Advertising expense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and 2024 was $180,046 and $48,536, respectively.</w:t>
      </w:r>
    </w:p>
    <w:p>
      <w:pPr>
        <w:spacing w:after="0" w:line="50" w:lineRule="exact"/>
        <w:rPr>
          <w:sz w:val="20"/>
          <w:szCs w:val="20"/>
          <w:color w:val="auto"/>
        </w:rPr>
      </w:pPr>
    </w:p>
    <w:p>
      <w:pPr>
        <w:jc w:val="both"/>
        <w:ind w:left="142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Self Insurance </w:t>
      </w:r>
      <w:r>
        <w:rPr>
          <w:rFonts w:ascii="Times New Roman" w:cs="Times New Roman" w:eastAsia="Times New Roman" w:hAnsi="Times New Roman"/>
          <w:sz w:val="18"/>
          <w:szCs w:val="18"/>
          <w:color w:val="auto"/>
        </w:rPr>
        <w:t>- The Company’s workers’ compensation policies are structured as Incurred Loss Deductible policies, whereby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self-insures for claim losses up to pre-determined limits. The Company also pays the insurance carrier an administrative fee for processing and settling the claims.</w:t>
      </w:r>
    </w:p>
    <w:p>
      <w:pPr>
        <w:spacing w:after="0" w:line="6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Company funds actual losses (up to the pre-determined limits) as they are incurred and settled.</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ind w:left="1420"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Self Insurance </w:t>
      </w:r>
      <w:r>
        <w:rPr>
          <w:rFonts w:ascii="Times New Roman" w:cs="Times New Roman" w:eastAsia="Times New Roman" w:hAnsi="Times New Roman"/>
          <w:sz w:val="18"/>
          <w:szCs w:val="18"/>
          <w:color w:val="auto"/>
        </w:rPr>
        <w:t>(continued)- As of September 30, 2025 and 2024, the Company has included a liability of $901,917 and $849,917,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in accrued liabilities on its accompanying consolidated balance sheets related to estimated obligations for losses on open claims not yet settled and losses on claims not yet reported as disclosed in Note 9.</w:t>
      </w:r>
    </w:p>
    <w:p>
      <w:pPr>
        <w:spacing w:after="0" w:line="67" w:lineRule="exact"/>
        <w:rPr>
          <w:sz w:val="20"/>
          <w:szCs w:val="20"/>
          <w:color w:val="auto"/>
        </w:rPr>
      </w:pPr>
    </w:p>
    <w:p>
      <w:pPr>
        <w:ind w:left="1420" w:right="20"/>
        <w:spacing w:after="0" w:line="255" w:lineRule="auto"/>
        <w:rPr>
          <w:sz w:val="20"/>
          <w:szCs w:val="20"/>
          <w:color w:val="auto"/>
        </w:rPr>
      </w:pPr>
      <w:r>
        <w:rPr>
          <w:rFonts w:ascii="Times New Roman" w:cs="Times New Roman" w:eastAsia="Times New Roman" w:hAnsi="Times New Roman"/>
          <w:sz w:val="18"/>
          <w:szCs w:val="18"/>
          <w:color w:val="auto"/>
        </w:rPr>
        <w:t>The Bowers Group, Inc. is taxed under Section 1362 (S Corporation) of the Internal Revenue Code and similar sections of the Maryland and Virginia state income tax laws, which provide that, in lieu of corporation income taxes, the stockholders are taxed on their proportionate share of the Company’s taxable income. Therefore, no provision or liability for federal income taxes has been included in the financial statements. For federal income tax purposes, the subsidiaries are reflected as divisions of The Bowers Group, Inc. In order for the Company to maintain its fiscal year-end for tax purposes, it is required to complete Form 8752 and remit a deposit to the Internal Revenue Service on May 15th of each year. As of September 30, 2025 and 2024, the Company has $4,474,516 and $3,923,886 on deposit with the Internal Revenue Service, respectively.</w:t>
      </w:r>
    </w:p>
    <w:p>
      <w:pPr>
        <w:spacing w:after="0" w:line="81" w:lineRule="exact"/>
        <w:rPr>
          <w:sz w:val="20"/>
          <w:szCs w:val="20"/>
          <w:color w:val="auto"/>
        </w:rPr>
      </w:pPr>
    </w:p>
    <w:p>
      <w:pPr>
        <w:ind w:left="1420"/>
        <w:spacing w:after="0" w:line="256" w:lineRule="auto"/>
        <w:rPr>
          <w:sz w:val="20"/>
          <w:szCs w:val="20"/>
          <w:color w:val="auto"/>
        </w:rPr>
      </w:pPr>
      <w:r>
        <w:rPr>
          <w:rFonts w:ascii="Times New Roman" w:cs="Times New Roman" w:eastAsia="Times New Roman" w:hAnsi="Times New Roman"/>
          <w:sz w:val="18"/>
          <w:szCs w:val="18"/>
          <w:color w:val="auto"/>
        </w:rPr>
        <w:t>The Company is subject to franchise taxes in certain states that do not recognize the S Corporation status. These taxes are included in income tax expense on the accompanying consolidated statements of income. Effective October 1, 2020, the Company has elected to pay Maryland income taxes at the entity level on behalf of its stockholders. Accordingly, Maryland income taxes for the years ended September 30, 2025 and 2024 are included in income tax expense. Effective October 1, 2022, the Company elected to pay Virginia income taxes at the entity level rather than at the stockholder level. Accordingly, Virginia income taxes for the year ended September 30, 2025 and 2024 are included in income tax expense on the statements of income.</w:t>
      </w:r>
    </w:p>
    <w:p>
      <w:pPr>
        <w:spacing w:after="0" w:line="77" w:lineRule="exact"/>
        <w:rPr>
          <w:sz w:val="20"/>
          <w:szCs w:val="20"/>
          <w:color w:val="auto"/>
        </w:rPr>
      </w:pPr>
    </w:p>
    <w:p>
      <w:pPr>
        <w:ind w:left="142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Positions </w:t>
      </w:r>
      <w:r>
        <w:rPr>
          <w:rFonts w:ascii="Times New Roman" w:cs="Times New Roman" w:eastAsia="Times New Roman" w:hAnsi="Times New Roman"/>
          <w:sz w:val="18"/>
          <w:szCs w:val="18"/>
          <w:color w:val="auto"/>
        </w:rPr>
        <w:t>- For financial reporting purposes, the Company recognizes tax positions claimed or expected to be claimed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upon whether it is more likely than not that the tax position will be sustained upon examination. The Company recognizes interest, if any, related to unrecognized income tax liabilities in interest expense. Additionally, the Company recognizes penalties, if any, related to unrecognized income tax liabilities in operating expense. As of September 30, 2025 and 2024, the Company had no uncertain tax positions that qualified for either recognition or disclosure in the consolidated financial statements.</w:t>
      </w:r>
    </w:p>
    <w:p>
      <w:pPr>
        <w:spacing w:after="0" w:line="75" w:lineRule="exact"/>
        <w:rPr>
          <w:sz w:val="20"/>
          <w:szCs w:val="20"/>
          <w:color w:val="auto"/>
        </w:rPr>
      </w:pPr>
    </w:p>
    <w:p>
      <w:pPr>
        <w:ind w:left="1420" w:right="1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Fair Value Measurement </w:t>
      </w:r>
      <w:r>
        <w:rPr>
          <w:rFonts w:ascii="Times New Roman" w:cs="Times New Roman" w:eastAsia="Times New Roman" w:hAnsi="Times New Roman"/>
          <w:sz w:val="17"/>
          <w:szCs w:val="17"/>
          <w:color w:val="auto"/>
        </w:rPr>
        <w:t>- The Company measures fair value based on the price that the Company would receive upon selling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asset or pay to transfer a liability in an orderly transaction between market participants at the measurement date. Various inputs are used in determining the fair value of assets or liabilities. Inputs are classified into a three-tier hierarchy, summarized as follows:</w:t>
      </w:r>
    </w:p>
    <w:p>
      <w:pPr>
        <w:spacing w:after="0" w:line="63" w:lineRule="exact"/>
        <w:rPr>
          <w:sz w:val="20"/>
          <w:szCs w:val="20"/>
          <w:color w:val="auto"/>
        </w:rPr>
      </w:pPr>
    </w:p>
    <w:p>
      <w:pPr>
        <w:ind w:left="2420" w:hanging="332"/>
        <w:spacing w:after="0"/>
        <w:tabs>
          <w:tab w:leader="none" w:pos="2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Other significant observable inputs</w:t>
      </w:r>
    </w:p>
    <w:p>
      <w:pPr>
        <w:spacing w:after="0" w:line="130" w:lineRule="exact"/>
        <w:rPr>
          <w:rFonts w:ascii="Times New Roman" w:cs="Times New Roman" w:eastAsia="Times New Roman" w:hAnsi="Times New Roman"/>
          <w:sz w:val="18"/>
          <w:szCs w:val="18"/>
          <w:color w:val="auto"/>
        </w:rPr>
      </w:pPr>
    </w:p>
    <w:p>
      <w:pPr>
        <w:ind w:left="2420" w:hanging="332"/>
        <w:spacing w:after="0"/>
        <w:tabs>
          <w:tab w:leader="none" w:pos="2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19" w:lineRule="exact"/>
        <w:rPr>
          <w:sz w:val="20"/>
          <w:szCs w:val="20"/>
          <w:color w:val="auto"/>
        </w:rPr>
      </w:pPr>
    </w:p>
    <w:p>
      <w:pPr>
        <w:ind w:left="1420"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 </w:t>
      </w:r>
      <w:r>
        <w:rPr>
          <w:rFonts w:ascii="Times New Roman" w:cs="Times New Roman" w:eastAsia="Times New Roman" w:hAnsi="Times New Roman"/>
          <w:sz w:val="18"/>
          <w:szCs w:val="18"/>
          <w:color w:val="auto"/>
        </w:rPr>
        <w:t>(continued) - When Level 1 inputs are not available, the Company measures fair value using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techniques that maximize the use of relevant observable inputs (Level 2) and minimizes the use of unobservable inputs (Level 3).</w:t>
      </w:r>
    </w:p>
    <w:p>
      <w:pPr>
        <w:spacing w:after="0" w:line="30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ind w:left="980"/>
        <w:spacing w:after="0" w:line="253" w:lineRule="auto"/>
        <w:rPr>
          <w:sz w:val="20"/>
          <w:szCs w:val="20"/>
          <w:color w:val="auto"/>
        </w:rPr>
      </w:pPr>
      <w:r>
        <w:rPr>
          <w:rFonts w:ascii="Times New Roman" w:cs="Times New Roman" w:eastAsia="Times New Roman" w:hAnsi="Times New Roman"/>
          <w:sz w:val="18"/>
          <w:szCs w:val="18"/>
          <w:color w:val="auto"/>
        </w:rPr>
        <w:t>Revenue from construction contracts and from the rendering of services comprise of revenue from goods and services transferred over time. The Company’s contracts and revenue mainly comprise of construction contracts, time-and-material services, and maintenance contracts. Construction contracts are typically either fixed price or guaranteed maximum price. Fixed price construction contracts involve more risk. However, they offer the opportunity for additional profits if the Company completes the contract for less than estimated. Guaranteed maximum price contracts are a cost-type contract where the Company is compensated for actual costs incurred plus a fixed fee subject to a ceiling price. The terms of guaranteed maximum price contracts vary between customers and the scope of the work to be performed. Time-and-material services are comprised of using a set labor fee per hour to control the pricing with the customer, profit may vary if actual labor-hour costs vary significantly from the negotiated rates. Typically, these contracts are used when a customer needs immediate assistance to fix a problem within a building and are non-recurring in nature. Maintenance contracts are comprised of a firm fixed price agreement. Customers engage the Company to evaluate their equipment and the Company then prepares a preventative maintenance plan to service the equipment to avoid costly breakdowns.</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contract-type components of earned revenue are as follows: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40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2025</w:t>
            </w:r>
          </w:p>
        </w:tc>
        <w:tc>
          <w:tcPr>
            <w:tcW w:w="300" w:type="dxa"/>
            <w:vAlign w:val="bottom"/>
          </w:tcPr>
          <w:p>
            <w:pPr>
              <w:spacing w:after="0"/>
              <w:rPr>
                <w:sz w:val="14"/>
                <w:szCs w:val="14"/>
                <w:color w:val="auto"/>
              </w:rPr>
            </w:pPr>
          </w:p>
        </w:tc>
        <w:tc>
          <w:tcPr>
            <w:tcW w:w="100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contracts</w:t>
            </w:r>
          </w:p>
        </w:tc>
        <w:tc>
          <w:tcPr>
            <w:tcW w:w="4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$733,228,810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$527,363,286</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Time-and-material services</w:t>
            </w:r>
          </w:p>
        </w:tc>
        <w:tc>
          <w:tcPr>
            <w:tcW w:w="4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21,523,108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17,823,114</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contracts</w:t>
            </w:r>
          </w:p>
        </w:tc>
        <w:tc>
          <w:tcPr>
            <w:tcW w:w="43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12,243,871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9,605,320</w:t>
            </w:r>
          </w:p>
        </w:tc>
        <w:tc>
          <w:tcPr>
            <w:tcW w:w="0" w:type="dxa"/>
            <w:vAlign w:val="bottom"/>
          </w:tcPr>
          <w:p>
            <w:pPr>
              <w:spacing w:after="0"/>
              <w:rPr>
                <w:sz w:val="1"/>
                <w:szCs w:val="1"/>
                <w:color w:val="auto"/>
              </w:rPr>
            </w:pPr>
          </w:p>
        </w:tc>
      </w:tr>
      <w:tr>
        <w:trPr>
          <w:trHeight w:val="223"/>
        </w:trPr>
        <w:tc>
          <w:tcPr>
            <w:tcW w:w="30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766,995,789</w:t>
            </w: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554,791,720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000" w:type="dxa"/>
            <w:vAlign w:val="bottom"/>
            <w:vMerge w:val="restart"/>
          </w:tcPr>
          <w:p>
            <w:pPr>
              <w:jc w:val="right"/>
              <w:ind w:right="1654"/>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21" w:name="page22"/>
    <w:bookmarkEnd w:id="21"/>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Contract Receivables, Net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5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components of contract receivables, net, are as follows: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receivables: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Completed contracts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4,253,890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2,786,048</w:t>
            </w: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Contracts in progress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130,858,097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67,254,448</w:t>
            </w: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maintenance contracts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12,405,307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8,082,992</w:t>
            </w:r>
          </w:p>
        </w:tc>
      </w:tr>
      <w:tr>
        <w:trPr>
          <w:trHeight w:val="27"/>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147,517,294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78,123,488</w:t>
            </w: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(158,491)</w:t>
            </w:r>
          </w:p>
        </w:tc>
      </w:tr>
      <w:tr>
        <w:trPr>
          <w:trHeight w:val="27"/>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147,362,294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77,964,997</w:t>
            </w: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4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Costs and Estimated Earnings on Uncompleted Contracts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8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The status of uncompleted contracts as of September 30, 2025 and 2024 is as follows: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331"/>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contracts: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incurred on uncompleted contracts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916,289,935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7"/>
              </w:rPr>
              <w:t>790,958,616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Estimated earnings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125,161,471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7"/>
              </w:rPr>
              <w:t>109,519,804</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1,041,451,406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900,478,420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Billings to date including conditional retentions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8"/>
              </w:rPr>
              <w:t>1,138,440,287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7"/>
              </w:rPr>
              <w:t>960,006,125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conditional retention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(67,299,237)</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(41,858,795)</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w w:val="98"/>
              </w:rPr>
              <w:t>1,071,141,050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7"/>
              </w:rPr>
              <w:t>918,147,330</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liabilities - construction contracts</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(29,689,644</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(17,668,910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contracts: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incurred on uncompleted contracts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4,626,691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3,499,817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Estimated earnings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2,370,262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1,311,592</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6,996,953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Billings to date including conditional retentions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9,717,026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7,766,135</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conditional retention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9,717,026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7,766,135</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liabilities - maintenance contracts</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(2,720,073</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(2,954,726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6" w:right="1440" w:bottom="1440" w:gutter="0" w:footer="0" w:header="0"/>
        </w:sectPr>
      </w:pPr>
    </w:p>
    <w:bookmarkStart w:id="22" w:name="page23"/>
    <w:bookmarkEnd w:id="22"/>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Costs and Estimated Earnings on Uncompleted Contracts </w:t>
            </w:r>
            <w:r>
              <w:rPr>
                <w:rFonts w:ascii="Times New Roman" w:cs="Times New Roman" w:eastAsia="Times New Roman" w:hAnsi="Times New Roman"/>
                <w:sz w:val="18"/>
                <w:szCs w:val="18"/>
                <w:color w:val="auto"/>
              </w:rPr>
              <w:t>(continued)</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6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Contract assets (liabilities) include the following:</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contracts: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Costs and estimated earnings in excess of billings on uncompleted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23,913,845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9,810,014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Conditional retentions included in contract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23,029,144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14,572,437</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 assets</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46,942,989</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24,382,451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9"/>
              </w:rPr>
              <w:t>(120,902,726)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(69,337,719)</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Conditional retentions included in contract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44,270,093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27,286,358</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(76,632,633)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(42,051,361)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assets (liabilities) - construction contracts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(29,689,644</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(17,668,910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contracts: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Costs and estimated earnings in excess of billings on uncompleted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390,230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159,382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Conditional retentions included in contract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contract assets</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390,230</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(3,110,303)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(3,114,108)</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Conditional retentions included in contract liabilities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(3,110,303)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(3,114,108)</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contract liabilities - maintenance contracts</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(2,720,073</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(2,954,726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220" w:type="dxa"/>
            <w:vAlign w:val="bottom"/>
            <w:gridSpan w:val="2"/>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0" w:type="dxa"/>
            <w:vAlign w:val="bottom"/>
          </w:tcPr>
          <w:p>
            <w:pPr>
              <w:spacing w:after="0"/>
              <w:rPr>
                <w:sz w:val="24"/>
                <w:szCs w:val="24"/>
                <w:color w:val="auto"/>
              </w:rPr>
            </w:pPr>
          </w:p>
        </w:tc>
        <w:tc>
          <w:tcPr>
            <w:tcW w:w="62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66" w:right="1440"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8"/>
          <w:szCs w:val="18"/>
          <w:b w:val="1"/>
          <w:bCs w:val="1"/>
          <w:color w:val="auto"/>
        </w:rPr>
        <w:t>Backlog Disclosure</w:t>
      </w:r>
    </w:p>
    <w:p>
      <w:pPr>
        <w:spacing w:after="0" w:line="121"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The following schedule summarizes changes in backlog on contracts during the years ended September 30, 2025 and 2024. Backlog represents the amount of the transaction price, including variable consideration not constrained, allocated to remaining (i.e., unsatisfied or partially unsatisfied) performance obligations at the end of each reporting period. Backlog includes revenue the Company expects to realize both from uncompleted contracts and from signed contracts on which work has not yet begun.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 balance,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691,856,742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399,796,677</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Contract adjustments</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1,094,877,601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193,462,930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contracts during the year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202,896,325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635,565,741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1,989,630,668</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1,228,825,348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contract revenue earned</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( 745,472,681)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(536,968,606)</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Backlog balance,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1,244,157,987</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691,856,742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6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60" w:type="dxa"/>
            <w:vAlign w:val="bottom"/>
            <w:vMerge w:val="continue"/>
          </w:tcPr>
          <w:p>
            <w:pPr>
              <w:spacing w:after="0"/>
              <w:rPr>
                <w:sz w:val="24"/>
                <w:szCs w:val="24"/>
                <w:color w:val="auto"/>
              </w:rPr>
            </w:pPr>
          </w:p>
        </w:tc>
        <w:tc>
          <w:tcPr>
            <w:tcW w:w="6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Balances of major classes of assets and total accumulated depreciation and amortization are included in property and equipment, net in the consolidated balance sheets as follows:</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4"/>
                <w:szCs w:val="14"/>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13,463,919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13,225,532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8,784,015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8,112,677</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Tools and equipment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8,386,176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7,549,878</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2,372,045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2,372,045</w:t>
            </w: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33,006,155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31,260,132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(26,271,017)</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(24,916,560)</w:t>
            </w:r>
          </w:p>
        </w:tc>
      </w:tr>
      <w:tr>
        <w:trPr>
          <w:trHeight w:val="27"/>
        </w:trPr>
        <w:tc>
          <w:tcPr>
            <w:tcW w:w="5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6,735,138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6,343,572</w:t>
            </w: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left="980" w:right="160"/>
        <w:spacing w:after="0" w:line="266" w:lineRule="auto"/>
        <w:rPr>
          <w:sz w:val="20"/>
          <w:szCs w:val="20"/>
          <w:color w:val="auto"/>
        </w:rPr>
      </w:pPr>
      <w:r>
        <w:rPr>
          <w:rFonts w:ascii="Times New Roman" w:cs="Times New Roman" w:eastAsia="Times New Roman" w:hAnsi="Times New Roman"/>
          <w:sz w:val="18"/>
          <w:szCs w:val="18"/>
          <w:color w:val="auto"/>
        </w:rPr>
        <w:t>The Company leases office, warehouse and yard space at various locations. The terms of the leases include base monthly rents due in equal monthly installments plus certain real estate taxes and operating costs of the properties. The leases are subject to annual escalation increases and expire on various dates through July 2032.</w:t>
      </w:r>
    </w:p>
    <w:p>
      <w:pPr>
        <w:spacing w:after="0" w:line="176" w:lineRule="exact"/>
        <w:rPr>
          <w:sz w:val="20"/>
          <w:szCs w:val="20"/>
          <w:color w:val="auto"/>
        </w:rPr>
      </w:pPr>
    </w:p>
    <w:p>
      <w:pPr>
        <w:ind w:left="980" w:right="20"/>
        <w:spacing w:after="0" w:line="266" w:lineRule="auto"/>
        <w:rPr>
          <w:sz w:val="20"/>
          <w:szCs w:val="20"/>
          <w:color w:val="auto"/>
        </w:rPr>
      </w:pPr>
      <w:r>
        <w:rPr>
          <w:rFonts w:ascii="Times New Roman" w:cs="Times New Roman" w:eastAsia="Times New Roman" w:hAnsi="Times New Roman"/>
          <w:sz w:val="18"/>
          <w:szCs w:val="18"/>
          <w:color w:val="auto"/>
        </w:rPr>
        <w:t>Rent and operating expenses relating to these leases totaled $4,735,243 and $3,659,572 for the years ended September 30, 2025 and 2024, respectively. Of these, $2,983,538 and $1,893,734 were charged to cost of earned revenue for the years ended September 30, 2025 and 2024, respectively.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66" w:right="49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 7.</w:t>
      </w:r>
      <w:r>
        <w:rPr>
          <w:sz w:val="20"/>
          <w:szCs w:val="20"/>
          <w:color w:val="auto"/>
        </w:rPr>
        <w:tab/>
      </w: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18"/>
          <w:szCs w:val="18"/>
          <w:color w:val="auto"/>
        </w:rPr>
        <w:t>(continued)</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weighted average remaining lease terms for operating leases were 62 and 76 months as of September 30, 2025 and 2024, respectively.</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weighted-average discount rates as of September 30, 2025 and 2024 for operating leases were 4.00% and 3.99%,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maturities of the operating leases liability as of September 30, 2025 is as follows: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Year ending September 30,</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4,342,309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jc w:val="right"/>
              <w:ind w:right="4670"/>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3,762,516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3,369,798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jc w:val="right"/>
              <w:ind w:right="4670"/>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3,464,901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tcPr>
          <w:p>
            <w:pPr>
              <w:jc w:val="right"/>
              <w:ind w:right="4670"/>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2,628,639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2,004,394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lease payments</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19,572,557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(1,948,281)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Present value of operating leases liability</w:t>
            </w:r>
          </w:p>
        </w:tc>
        <w:tc>
          <w:tcPr>
            <w:tcW w:w="6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17,624,276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maturity</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(3,700,809)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Long-term operating leases liability</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13,923,467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8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Total lease cost for the years ended September 30, 2025 and 2024:</w:t>
            </w: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0" w:type="dxa"/>
            <w:vAlign w:val="bottom"/>
          </w:tcPr>
          <w:p>
            <w:pPr>
              <w:spacing w:after="0"/>
              <w:rPr>
                <w:sz w:val="24"/>
                <w:szCs w:val="24"/>
                <w:color w:val="auto"/>
              </w:rPr>
            </w:pPr>
          </w:p>
        </w:tc>
        <w:tc>
          <w:tcPr>
            <w:tcW w:w="68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$4,067,291</w:t>
            </w: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$ 2,911,906</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80" w:type="dxa"/>
            <w:vAlign w:val="bottom"/>
            <w:gridSpan w:val="2"/>
          </w:tcPr>
          <w:p>
            <w:pPr>
              <w:jc w:val="right"/>
              <w:ind w:right="467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488,838</w:t>
            </w:r>
          </w:p>
        </w:tc>
        <w:tc>
          <w:tcPr>
            <w:tcW w:w="10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370,290</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179,114</w:t>
            </w:r>
          </w:p>
        </w:tc>
        <w:tc>
          <w:tcPr>
            <w:tcW w:w="10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377,376</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80" w:type="dxa"/>
            <w:vAlign w:val="bottom"/>
            <w:gridSpan w:val="2"/>
          </w:tcPr>
          <w:p>
            <w:pPr>
              <w:jc w:val="right"/>
              <w:ind w:right="5090"/>
              <w:spacing w:after="0"/>
              <w:rPr>
                <w:sz w:val="20"/>
                <w:szCs w:val="20"/>
                <w:color w:val="auto"/>
              </w:rPr>
            </w:pPr>
            <w:r>
              <w:rPr>
                <w:rFonts w:ascii="Times New Roman" w:cs="Times New Roman" w:eastAsia="Times New Roman" w:hAnsi="Times New Roman"/>
                <w:sz w:val="18"/>
                <w:szCs w:val="18"/>
                <w:color w:val="auto"/>
                <w:w w:val="96"/>
              </w:rPr>
              <w:t>Total lease cost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4,735,243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3,659,572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68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Line of Credit Facilities</w:t>
            </w: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0" w:type="dxa"/>
            <w:vAlign w:val="bottom"/>
            <w:vMerge w:val="continue"/>
          </w:tcPr>
          <w:p>
            <w:pPr>
              <w:spacing w:after="0"/>
              <w:rPr>
                <w:sz w:val="24"/>
                <w:szCs w:val="24"/>
                <w:color w:val="auto"/>
              </w:rPr>
            </w:pPr>
          </w:p>
        </w:tc>
        <w:tc>
          <w:tcPr>
            <w:tcW w:w="68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0" w:right="220"/>
        <w:spacing w:after="0" w:line="261" w:lineRule="auto"/>
        <w:rPr>
          <w:sz w:val="20"/>
          <w:szCs w:val="20"/>
          <w:color w:val="auto"/>
        </w:rPr>
      </w:pPr>
      <w:r>
        <w:rPr>
          <w:rFonts w:ascii="Times New Roman" w:cs="Times New Roman" w:eastAsia="Times New Roman" w:hAnsi="Times New Roman"/>
          <w:sz w:val="18"/>
          <w:szCs w:val="18"/>
          <w:color w:val="auto"/>
        </w:rPr>
        <w:t>The Company has a revolving line of credit with a financial institution, maturing on the demand of the lender. Advances on the line are limited to $50,000,000 and are subject to limitations based on eligible contract receivables and outstanding letters of credit. This line of credit bears interest at SOFR plus 1% and is secured by the Company’s assets. As of September 30, 2025 and 2024, no amounts were outstanding on the line of credit. The line of credit is subject to certain financial covenants.</w:t>
      </w:r>
    </w:p>
    <w:p>
      <w:pPr>
        <w:spacing w:after="0" w:line="180" w:lineRule="exact"/>
        <w:rPr>
          <w:sz w:val="20"/>
          <w:szCs w:val="20"/>
          <w:color w:val="auto"/>
        </w:rPr>
      </w:pPr>
    </w:p>
    <w:p>
      <w:pPr>
        <w:ind w:left="980" w:right="200"/>
        <w:spacing w:after="0" w:line="282" w:lineRule="auto"/>
        <w:rPr>
          <w:sz w:val="20"/>
          <w:szCs w:val="20"/>
          <w:color w:val="auto"/>
        </w:rPr>
      </w:pPr>
      <w:r>
        <w:rPr>
          <w:rFonts w:ascii="Times New Roman" w:cs="Times New Roman" w:eastAsia="Times New Roman" w:hAnsi="Times New Roman"/>
          <w:sz w:val="18"/>
          <w:szCs w:val="18"/>
          <w:color w:val="auto"/>
        </w:rPr>
        <w:t>The line of credit facility includes a $500,000 equipment line. As of September 30, 2025 and 2024, no loans had been drawn on the line and converted into notes.</w:t>
      </w:r>
    </w:p>
    <w:p>
      <w:pPr>
        <w:spacing w:after="0" w:line="162" w:lineRule="exact"/>
        <w:rPr>
          <w:sz w:val="20"/>
          <w:szCs w:val="20"/>
          <w:color w:val="auto"/>
        </w:rPr>
      </w:pPr>
    </w:p>
    <w:p>
      <w:pPr>
        <w:ind w:left="980" w:right="120"/>
        <w:spacing w:after="0" w:line="282" w:lineRule="auto"/>
        <w:rPr>
          <w:sz w:val="20"/>
          <w:szCs w:val="20"/>
          <w:color w:val="auto"/>
        </w:rPr>
      </w:pPr>
      <w:r>
        <w:rPr>
          <w:rFonts w:ascii="Times New Roman" w:cs="Times New Roman" w:eastAsia="Times New Roman" w:hAnsi="Times New Roman"/>
          <w:sz w:val="18"/>
          <w:szCs w:val="18"/>
          <w:color w:val="auto"/>
        </w:rPr>
        <w:t>The line of credit facility includes a letter of credit facility. As of September 30, 2025 and 2024, the Company had $1,985,750 of irrevocable letters of credit outstanding in connection with its self insurance plan which reduced the borrowing base on the line of credit.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66" w:right="49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760" w:type="dxa"/>
            <w:vAlign w:val="bottom"/>
          </w:tcPr>
          <w:p>
            <w:pPr>
              <w:spacing w:after="0"/>
              <w:rPr>
                <w:sz w:val="24"/>
                <w:szCs w:val="24"/>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liabilities as of September 30, 2025 and 2024 consist of the following:</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24"/>
                <w:szCs w:val="24"/>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bonuses and vacation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$14,935,324</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$14,902,347</w:t>
            </w: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Union benefits payable</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6,130,882</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4,270,902</w:t>
            </w: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Self insurance loss reserve</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901,917</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849,917</w:t>
            </w: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Accrued profit sharing plan contributions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671,229</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564,003</w:t>
            </w:r>
          </w:p>
        </w:tc>
      </w:tr>
      <w:tr>
        <w:trPr>
          <w:trHeight w:val="216"/>
        </w:trPr>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45,065</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68,887</w:t>
            </w:r>
          </w:p>
        </w:tc>
      </w:tr>
      <w:tr>
        <w:trPr>
          <w:trHeight w:val="223"/>
        </w:trPr>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22,684,417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20,656,056</w:t>
            </w:r>
          </w:p>
        </w:tc>
        <w:tc>
          <w:tcPr>
            <w:tcW w:w="4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Income tax expense consists of the following components for the years ended September 30, 2025 and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Virginia entity level income tax</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$2,762,538</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$1,708,488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Current District of Columbia franchise tax expense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593,669</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506,953</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Maryland entity level income tax</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893,812</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4,250,019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2,216,300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6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Qualified Retirement Plan</w:t>
            </w: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00" w:type="dxa"/>
            <w:vAlign w:val="bottom"/>
            <w:vMerge w:val="continue"/>
          </w:tcPr>
          <w:p>
            <w:pPr>
              <w:spacing w:after="0"/>
              <w:rPr>
                <w:sz w:val="24"/>
                <w:szCs w:val="24"/>
                <w:color w:val="auto"/>
              </w:rPr>
            </w:pPr>
          </w:p>
        </w:tc>
        <w:tc>
          <w:tcPr>
            <w:tcW w:w="68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The Company has a qualified retirement plan with a 401(k) feature, which covers all non-union qualified employees who have attained age 18 and have completed six months of service. The plan allows employees to make voluntary tax deferred contributions, not to exceed statutory limits. The Company makes safe harbor matching contributions of 3% of employees’ annual compensation. In addition, the Board of Directors can make a discretionary profit sharing contribution on an annual basis. Employee and safe harbor matching contributions are 100% vested and the discretionary profit sharing contributions vest over a period of 6 years. The Company made matching and profit sharing contributions to the plan totaling $1,331,416 and $1,254,047 for the years ended September 30, 2025 and 2024,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6" w:name="page27"/>
    <w:bookmarkEnd w:id="2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left="980" w:right="64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temporary cash investments and contract and retention receivables.</w:t>
      </w:r>
    </w:p>
    <w:p>
      <w:pPr>
        <w:spacing w:after="0" w:line="54"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Company places its temporary cash investments with one financial institution. Accounts at this institution are insured by the Federal Deposit Insurance Corporation up to certain limits. As of September 30, 2025 and 2024 the Company’s uninsured balances totaled $7,611,128 and $5,088,811, respectively.</w:t>
      </w:r>
    </w:p>
    <w:p>
      <w:pPr>
        <w:spacing w:after="0" w:line="68" w:lineRule="exact"/>
        <w:rPr>
          <w:sz w:val="20"/>
          <w:szCs w:val="20"/>
          <w:color w:val="auto"/>
        </w:rPr>
      </w:pPr>
    </w:p>
    <w:p>
      <w:pPr>
        <w:ind w:left="980" w:right="420"/>
        <w:spacing w:after="0" w:line="282" w:lineRule="auto"/>
        <w:rPr>
          <w:sz w:val="20"/>
          <w:szCs w:val="20"/>
          <w:color w:val="auto"/>
        </w:rPr>
      </w:pPr>
      <w:r>
        <w:rPr>
          <w:rFonts w:ascii="Times New Roman" w:cs="Times New Roman" w:eastAsia="Times New Roman" w:hAnsi="Times New Roman"/>
          <w:sz w:val="18"/>
          <w:szCs w:val="18"/>
          <w:color w:val="auto"/>
        </w:rPr>
        <w:t>Contract and retention receivables from four customers totaled 65% of the Company’s total contract and retention receivables as of September 30, 2025.</w:t>
      </w:r>
    </w:p>
    <w:p>
      <w:pPr>
        <w:spacing w:after="0" w:line="54" w:lineRule="exact"/>
        <w:rPr>
          <w:sz w:val="20"/>
          <w:szCs w:val="20"/>
          <w:color w:val="auto"/>
        </w:rPr>
      </w:pPr>
    </w:p>
    <w:p>
      <w:pPr>
        <w:ind w:left="980" w:right="460"/>
        <w:spacing w:after="0" w:line="282" w:lineRule="auto"/>
        <w:rPr>
          <w:sz w:val="20"/>
          <w:szCs w:val="20"/>
          <w:color w:val="auto"/>
        </w:rPr>
      </w:pPr>
      <w:r>
        <w:rPr>
          <w:rFonts w:ascii="Times New Roman" w:cs="Times New Roman" w:eastAsia="Times New Roman" w:hAnsi="Times New Roman"/>
          <w:sz w:val="18"/>
          <w:szCs w:val="18"/>
          <w:color w:val="auto"/>
        </w:rPr>
        <w:t>Contract and retention receivables from one customers totaled 17% of the Company’s total contract and retention receivables as of September 30, 2024.</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8"/>
          <w:szCs w:val="18"/>
          <w:b w:val="1"/>
          <w:bCs w:val="1"/>
          <w:color w:val="auto"/>
        </w:rPr>
        <w:t>Revenues from Major Customers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Revenues from three major customers totaled 46% of the Company’s earned revenues during the year ended September 30, 2025.</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Revenues from one major customers totaled 12% of the Company’s earned revenues during the year ended September 30, 2024.</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800" w:type="dxa"/>
            <w:vAlign w:val="bottom"/>
          </w:tcPr>
          <w:p>
            <w:pPr>
              <w:spacing w:after="0"/>
              <w:rPr>
                <w:sz w:val="24"/>
                <w:szCs w:val="24"/>
                <w:color w:val="auto"/>
              </w:rPr>
            </w:pPr>
          </w:p>
        </w:tc>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during the years ended September 30, 2025 and 2024 for:</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1"/>
        </w:trPr>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24"/>
                <w:szCs w:val="24"/>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7,083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216,021</w:t>
            </w:r>
          </w:p>
        </w:tc>
      </w:tr>
      <w:tr>
        <w:trPr>
          <w:trHeight w:val="230"/>
        </w:trPr>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DC Franchise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456,669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656,953</w:t>
            </w:r>
          </w:p>
        </w:tc>
        <w:tc>
          <w:tcPr>
            <w:tcW w:w="40" w:type="dxa"/>
            <w:vAlign w:val="bottom"/>
          </w:tcPr>
          <w:p>
            <w:pPr>
              <w:spacing w:after="0"/>
              <w:rPr>
                <w:sz w:val="20"/>
                <w:szCs w:val="20"/>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728,852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228,381</w:t>
            </w:r>
          </w:p>
        </w:tc>
      </w:tr>
      <w:tr>
        <w:trPr>
          <w:trHeight w:val="223"/>
        </w:trPr>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VA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2,098,050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3,256,976</w:t>
            </w:r>
          </w:p>
        </w:tc>
        <w:tc>
          <w:tcPr>
            <w:tcW w:w="40" w:type="dxa"/>
            <w:vAlign w:val="bottom"/>
          </w:tcPr>
          <w:p>
            <w:pPr>
              <w:spacing w:after="0"/>
              <w:rPr>
                <w:sz w:val="19"/>
                <w:szCs w:val="19"/>
                <w:color w:val="auto"/>
              </w:rPr>
            </w:pPr>
          </w:p>
        </w:tc>
      </w:tr>
    </w:tbl>
    <w:p>
      <w:pPr>
        <w:spacing w:after="0" w:line="211" w:lineRule="exact"/>
        <w:rPr>
          <w:sz w:val="20"/>
          <w:szCs w:val="20"/>
          <w:color w:val="auto"/>
        </w:rPr>
      </w:pPr>
    </w:p>
    <w:p>
      <w:pPr>
        <w:ind w:left="980" w:right="320"/>
        <w:spacing w:after="0" w:line="282" w:lineRule="auto"/>
        <w:rPr>
          <w:sz w:val="20"/>
          <w:szCs w:val="20"/>
          <w:color w:val="auto"/>
        </w:rPr>
      </w:pPr>
      <w:r>
        <w:rPr>
          <w:rFonts w:ascii="Times New Roman" w:cs="Times New Roman" w:eastAsia="Times New Roman" w:hAnsi="Times New Roman"/>
          <w:sz w:val="18"/>
          <w:szCs w:val="18"/>
          <w:color w:val="auto"/>
        </w:rPr>
        <w:t>ROU assets acquired through operating leases totaled $3,459,372 and $6,891,707 for the years ended September 30, 2025 and 2024, respectively.</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 for the years ended September 30, 2025 and 2024 include:</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39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2024</w:t>
            </w:r>
          </w:p>
        </w:tc>
        <w:tc>
          <w:tcPr>
            <w:tcW w:w="40" w:type="dxa"/>
            <w:vAlign w:val="bottom"/>
          </w:tcPr>
          <w:p>
            <w:pPr>
              <w:spacing w:after="0"/>
              <w:rPr>
                <w:sz w:val="14"/>
                <w:szCs w:val="14"/>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416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3,878,669</w:t>
            </w:r>
          </w:p>
        </w:tc>
        <w:tc>
          <w:tcPr>
            <w:tcW w:w="106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2,707,156</w:t>
            </w:r>
          </w:p>
        </w:tc>
      </w:tr>
      <w:tr>
        <w:trPr>
          <w:trHeight w:val="372"/>
        </w:trPr>
        <w:tc>
          <w:tcPr>
            <w:tcW w:w="3140" w:type="dxa"/>
            <w:vAlign w:val="bottom"/>
          </w:tcPr>
          <w:p>
            <w:pPr>
              <w:spacing w:after="0"/>
              <w:rPr>
                <w:sz w:val="24"/>
                <w:szCs w:val="24"/>
                <w:color w:val="auto"/>
              </w:rPr>
            </w:pPr>
          </w:p>
        </w:tc>
        <w:tc>
          <w:tcPr>
            <w:tcW w:w="3140" w:type="dxa"/>
            <w:vAlign w:val="bottom"/>
          </w:tcPr>
          <w:p>
            <w:pPr>
              <w:jc w:val="right"/>
              <w:ind w:right="1916"/>
              <w:spacing w:after="0"/>
              <w:rPr>
                <w:sz w:val="20"/>
                <w:szCs w:val="20"/>
                <w:color w:val="auto"/>
              </w:rPr>
            </w:pPr>
            <w:r>
              <w:rPr>
                <w:rFonts w:ascii="Times New Roman" w:cs="Times New Roman" w:eastAsia="Times New Roman" w:hAnsi="Times New Roman"/>
                <w:sz w:val="18"/>
                <w:szCs w:val="18"/>
                <w:color w:val="auto"/>
              </w:rPr>
              <w:t>21</w:t>
            </w: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40"/>
          </w:cols>
          <w:pgMar w:left="440" w:top="266" w:right="619" w:bottom="1440" w:gutter="0" w:footer="0" w:header="0"/>
        </w:sectPr>
      </w:pPr>
    </w:p>
    <w:bookmarkStart w:id="27" w:name="page28"/>
    <w:bookmarkEnd w:id="2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8"/>
          <w:szCs w:val="18"/>
          <w:b w:val="1"/>
          <w:bCs w:val="1"/>
          <w:color w:val="auto"/>
        </w:rPr>
        <w:t>Union Contracts</w:t>
      </w:r>
    </w:p>
    <w:p>
      <w:pPr>
        <w:spacing w:after="0" w:line="121" w:lineRule="exact"/>
        <w:rPr>
          <w:sz w:val="20"/>
          <w:szCs w:val="20"/>
          <w:color w:val="auto"/>
        </w:rPr>
      </w:pPr>
    </w:p>
    <w:p>
      <w:pPr>
        <w:jc w:val="both"/>
        <w:ind w:left="984"/>
        <w:spacing w:after="0" w:line="266" w:lineRule="auto"/>
        <w:rPr>
          <w:sz w:val="20"/>
          <w:szCs w:val="20"/>
          <w:color w:val="auto"/>
        </w:rPr>
      </w:pPr>
      <w:r>
        <w:rPr>
          <w:rFonts w:ascii="Times New Roman" w:cs="Times New Roman" w:eastAsia="Times New Roman" w:hAnsi="Times New Roman"/>
          <w:sz w:val="18"/>
          <w:szCs w:val="18"/>
          <w:color w:val="auto"/>
        </w:rPr>
        <w:t>The Company has agreements with seven different unions located in the Washington DC Metropolitan area. These unions provide pension, health insurance, and other benefits to their members. The Company makes contributions to the unions to fund the benefits. Approximately 90% of the Company’s employees are members of these unions.</w:t>
      </w:r>
    </w:p>
    <w:p>
      <w:pPr>
        <w:spacing w:after="0" w:line="32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b w:val="1"/>
          <w:bCs w:val="1"/>
          <w:color w:val="auto"/>
        </w:rPr>
        <w:t>Multi-employer Pension Plans</w:t>
      </w:r>
    </w:p>
    <w:p>
      <w:pPr>
        <w:spacing w:after="0" w:line="121" w:lineRule="exact"/>
        <w:rPr>
          <w:sz w:val="20"/>
          <w:szCs w:val="20"/>
          <w:color w:val="auto"/>
        </w:rPr>
      </w:pPr>
    </w:p>
    <w:p>
      <w:pPr>
        <w:ind w:left="984" w:right="40"/>
        <w:spacing w:after="0" w:line="254" w:lineRule="auto"/>
        <w:rPr>
          <w:sz w:val="20"/>
          <w:szCs w:val="20"/>
          <w:color w:val="auto"/>
        </w:rPr>
      </w:pPr>
      <w:r>
        <w:rPr>
          <w:rFonts w:ascii="Times New Roman" w:cs="Times New Roman" w:eastAsia="Times New Roman" w:hAnsi="Times New Roman"/>
          <w:sz w:val="18"/>
          <w:szCs w:val="18"/>
          <w:color w:val="auto"/>
        </w:rPr>
        <w:t>As illustrated in the table below, the Company significantly participated in three multi-employer defined benefit plans for the year ended September 30, 2025. The most recent Pension Protection Act (PPA) zone status available is for the plans’ year-end ranging from April 1, 2025 to August 31, 2025. Based on an actuary’s certified information, the Company received the zone status information for the plans to identify the various zones identified with each plan. Plans in the red zone are generally less than 65 percent funded, plans in the yellow zone are less than 80 percent funded, and plans in the green zone are at least 80 percent funded. The “FIP/RP Status Pending/Implemented” column indicates plans for which a financial improvement plan (FIP) or a rehabilitation plan (RP) is either pending or has been implemented. The second to last column lists the expiration date of the collective-bargaining agreement. The last column lists the contributions the Company made for years ended September 30, 2025 and 2024, respectively.</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FIP/RP</w:t>
            </w:r>
          </w:p>
        </w:tc>
        <w:tc>
          <w:tcPr>
            <w:tcW w:w="920" w:type="dxa"/>
            <w:vAlign w:val="bottom"/>
          </w:tcPr>
          <w:p>
            <w:pPr>
              <w:spacing w:after="0"/>
              <w:rPr>
                <w:sz w:val="13"/>
                <w:szCs w:val="13"/>
                <w:color w:val="auto"/>
              </w:rPr>
            </w:pP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Collective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Bargaining</w:t>
            </w:r>
          </w:p>
        </w:tc>
        <w:tc>
          <w:tcPr>
            <w:tcW w:w="228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Contributions by the Company</w:t>
            </w:r>
          </w:p>
        </w:tc>
        <w:tc>
          <w:tcPr>
            <w:tcW w:w="0" w:type="dxa"/>
            <w:vAlign w:val="bottom"/>
          </w:tcPr>
          <w:p>
            <w:pPr>
              <w:spacing w:after="0"/>
              <w:rPr>
                <w:sz w:val="1"/>
                <w:szCs w:val="1"/>
                <w:color w:val="auto"/>
              </w:rPr>
            </w:pPr>
          </w:p>
        </w:tc>
      </w:tr>
      <w:tr>
        <w:trPr>
          <w:trHeight w:val="123"/>
        </w:trPr>
        <w:tc>
          <w:tcPr>
            <w:tcW w:w="4400" w:type="dxa"/>
            <w:vAlign w:val="bottom"/>
          </w:tcPr>
          <w:p>
            <w:pPr>
              <w:spacing w:after="0"/>
              <w:rPr>
                <w:sz w:val="10"/>
                <w:szCs w:val="10"/>
                <w:color w:val="auto"/>
              </w:rPr>
            </w:pPr>
          </w:p>
        </w:tc>
        <w:tc>
          <w:tcPr>
            <w:tcW w:w="11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Protection</w:t>
            </w:r>
          </w:p>
        </w:tc>
        <w:tc>
          <w:tcPr>
            <w:tcW w:w="10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Status</w:t>
            </w:r>
          </w:p>
        </w:tc>
        <w:tc>
          <w:tcPr>
            <w:tcW w:w="920" w:type="dxa"/>
            <w:vAlign w:val="bottom"/>
          </w:tcPr>
          <w:p>
            <w:pPr>
              <w:spacing w:after="0"/>
              <w:rPr>
                <w:sz w:val="10"/>
                <w:szCs w:val="10"/>
                <w:color w:val="auto"/>
              </w:rPr>
            </w:pPr>
          </w:p>
        </w:tc>
        <w:tc>
          <w:tcPr>
            <w:tcW w:w="1240" w:type="dxa"/>
            <w:vAlign w:val="bottom"/>
            <w:vMerge w:val="restart"/>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Agreement</w:t>
            </w:r>
          </w:p>
        </w:tc>
        <w:tc>
          <w:tcPr>
            <w:tcW w:w="22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Surcharge</w:t>
            </w:r>
          </w:p>
        </w:tc>
        <w:tc>
          <w:tcPr>
            <w:tcW w:w="124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4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 Zone</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Pending/</w:t>
            </w:r>
          </w:p>
        </w:tc>
        <w:tc>
          <w:tcPr>
            <w:tcW w:w="920" w:type="dxa"/>
            <w:vAlign w:val="bottom"/>
            <w:vMerge w:val="continue"/>
          </w:tcPr>
          <w:p>
            <w:pPr>
              <w:spacing w:after="0"/>
              <w:rPr>
                <w:sz w:val="12"/>
                <w:szCs w:val="12"/>
                <w:color w:val="auto"/>
              </w:rPr>
            </w:pPr>
          </w:p>
        </w:tc>
        <w:tc>
          <w:tcPr>
            <w:tcW w:w="12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Pension Fund 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Implemented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Imposed</w:t>
            </w: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tcPr>
          <w:p>
            <w:pPr>
              <w:jc w:val="right"/>
              <w:ind w:right="215"/>
              <w:spacing w:after="0"/>
              <w:rPr>
                <w:sz w:val="20"/>
                <w:szCs w:val="20"/>
                <w:color w:val="auto"/>
              </w:rPr>
            </w:pPr>
            <w:r>
              <w:rPr>
                <w:rFonts w:ascii="Times New Roman" w:cs="Times New Roman" w:eastAsia="Times New Roman" w:hAnsi="Times New Roman"/>
                <w:sz w:val="14"/>
                <w:szCs w:val="14"/>
                <w:color w:val="auto"/>
              </w:rPr>
              <w:t>2025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Heating, Piping &amp; Refrigeration Pension Fund</w:t>
            </w:r>
          </w:p>
        </w:tc>
        <w:tc>
          <w:tcPr>
            <w:tcW w:w="1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Green as</w:t>
            </w: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EIN 52-1058013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of Sept 1,</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2025</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12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07/31/2028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$11,009,711*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8,795,355*</w:t>
            </w:r>
          </w:p>
        </w:tc>
        <w:tc>
          <w:tcPr>
            <w:tcW w:w="0" w:type="dxa"/>
            <w:vAlign w:val="bottom"/>
          </w:tcPr>
          <w:p>
            <w:pPr>
              <w:spacing w:after="0"/>
              <w:rPr>
                <w:sz w:val="1"/>
                <w:szCs w:val="1"/>
                <w:color w:val="auto"/>
              </w:rPr>
            </w:pPr>
          </w:p>
        </w:tc>
      </w:tr>
      <w:tr>
        <w:trPr>
          <w:trHeight w:val="198"/>
        </w:trPr>
        <w:tc>
          <w:tcPr>
            <w:tcW w:w="4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Plumbers &amp; Pipefitters National Pension Fund Local #5</w:t>
            </w: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Green as</w:t>
            </w: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EIN 52-6152779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July 1,</w:t>
            </w: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1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2025</w:t>
            </w:r>
          </w:p>
        </w:tc>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124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07/31/2028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1,817,512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1,634,212</w:t>
            </w:r>
          </w:p>
        </w:tc>
        <w:tc>
          <w:tcPr>
            <w:tcW w:w="0" w:type="dxa"/>
            <w:vAlign w:val="bottom"/>
          </w:tcPr>
          <w:p>
            <w:pPr>
              <w:spacing w:after="0"/>
              <w:rPr>
                <w:sz w:val="1"/>
                <w:szCs w:val="1"/>
                <w:color w:val="auto"/>
              </w:rPr>
            </w:pPr>
          </w:p>
        </w:tc>
      </w:tr>
      <w:tr>
        <w:trPr>
          <w:trHeight w:val="198"/>
        </w:trPr>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Sheet Metal Workers D.C. Area Pension Fund Local #100</w:t>
            </w:r>
          </w:p>
        </w:tc>
        <w:tc>
          <w:tcPr>
            <w:tcW w:w="11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Green as</w:t>
            </w: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EIN 52-6038495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of April 1,</w:t>
            </w: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spacing w:after="0"/>
              <w:rPr>
                <w:sz w:val="20"/>
                <w:szCs w:val="20"/>
                <w:color w:val="auto"/>
              </w:rPr>
            </w:pPr>
          </w:p>
        </w:tc>
        <w:tc>
          <w:tcPr>
            <w:tcW w:w="11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8"/>
                <w:szCs w:val="18"/>
                <w:color w:val="auto"/>
                <w:w w:val="99"/>
              </w:rPr>
              <w:t>2025</w:t>
            </w:r>
          </w:p>
        </w:tc>
        <w:tc>
          <w:tcPr>
            <w:tcW w:w="1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w:t>
            </w:r>
          </w:p>
        </w:tc>
        <w:tc>
          <w:tcPr>
            <w:tcW w:w="12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10/31/2026</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6,483,667*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6,233,358*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Other Plans</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1,247,369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588,091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20,558,259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17,251,016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24" w:right="4960" w:hanging="5424"/>
        <w:spacing w:after="0" w:line="367" w:lineRule="auto"/>
        <w:tabs>
          <w:tab w:leader="none" w:pos="22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contributions are greater than 5% of this plan’s total contributions. 22</w:t>
      </w:r>
    </w:p>
    <w:p>
      <w:pPr>
        <w:sectPr>
          <w:pgSz w:w="11900" w:h="16838" w:orient="portrait"/>
          <w:cols w:equalWidth="0" w:num="1">
            <w:col w:w="11024"/>
          </w:cols>
          <w:pgMar w:left="436" w:top="266" w:right="439" w:bottom="1440" w:gutter="0" w:footer="0" w:header="0"/>
        </w:sectPr>
      </w:pPr>
    </w:p>
    <w:bookmarkStart w:id="28" w:name="page29"/>
    <w:bookmarkEnd w:id="2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BOWERS GROUP,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Years Ended September 30, 2025 and 2024</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8"/>
          <w:szCs w:val="18"/>
          <w:b w:val="1"/>
          <w:bCs w:val="1"/>
          <w:color w:val="auto"/>
        </w:rPr>
        <w:t xml:space="preserve">Multi-employer Pension Plans </w:t>
      </w:r>
      <w:r>
        <w:rPr>
          <w:rFonts w:ascii="Times New Roman" w:cs="Times New Roman" w:eastAsia="Times New Roman" w:hAnsi="Times New Roman"/>
          <w:sz w:val="18"/>
          <w:szCs w:val="18"/>
          <w:color w:val="auto"/>
        </w:rPr>
        <w:t>(continued)</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risks of participating in these multi-employer plans are different from single-employer plans in the following aspects:</w:t>
      </w:r>
    </w:p>
    <w:p>
      <w:pPr>
        <w:spacing w:after="0" w:line="131" w:lineRule="exact"/>
        <w:rPr>
          <w:sz w:val="20"/>
          <w:szCs w:val="20"/>
          <w:color w:val="auto"/>
        </w:rPr>
      </w:pPr>
    </w:p>
    <w:p>
      <w:pPr>
        <w:ind w:left="1420" w:right="2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67" w:lineRule="exact"/>
        <w:rPr>
          <w:rFonts w:ascii="Times New Roman" w:cs="Times New Roman" w:eastAsia="Times New Roman" w:hAnsi="Times New Roman"/>
          <w:sz w:val="18"/>
          <w:szCs w:val="18"/>
          <w:color w:val="auto"/>
        </w:rPr>
      </w:pPr>
    </w:p>
    <w:p>
      <w:pPr>
        <w:ind w:left="1420" w:right="44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67"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some of the multi-employer plans, the Company may be required to pay those plans an amount based on the underfunded status of the plan, referred to as a withdrawal liability.</w:t>
      </w:r>
    </w:p>
    <w:p>
      <w:pPr>
        <w:spacing w:after="0" w:line="54" w:lineRule="exact"/>
        <w:rPr>
          <w:sz w:val="20"/>
          <w:szCs w:val="20"/>
          <w:color w:val="auto"/>
        </w:rPr>
      </w:pPr>
    </w:p>
    <w:p>
      <w:pPr>
        <w:ind w:left="980" w:right="360"/>
        <w:spacing w:after="0" w:line="282" w:lineRule="auto"/>
        <w:rPr>
          <w:sz w:val="20"/>
          <w:szCs w:val="20"/>
          <w:color w:val="auto"/>
        </w:rPr>
      </w:pPr>
      <w:r>
        <w:rPr>
          <w:rFonts w:ascii="Times New Roman" w:cs="Times New Roman" w:eastAsia="Times New Roman" w:hAnsi="Times New Roman"/>
          <w:sz w:val="18"/>
          <w:szCs w:val="18"/>
          <w:color w:val="auto"/>
        </w:rPr>
        <w:t>The Company currently has no intention of withdrawing from any of the multi-employer pension plans in which they participate that would result in a significant withdrawal liability.</w:t>
      </w:r>
    </w:p>
    <w:p>
      <w:pPr>
        <w:spacing w:after="0" w:line="3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December 19, 2025, the date which the financial statements were available to be issued.</w:t>
      </w:r>
    </w:p>
    <w:p>
      <w:pPr>
        <w:spacing w:after="0" w:line="54" w:lineRule="exact"/>
        <w:rPr>
          <w:sz w:val="20"/>
          <w:szCs w:val="20"/>
          <w:color w:val="auto"/>
        </w:rPr>
      </w:pPr>
    </w:p>
    <w:p>
      <w:pPr>
        <w:ind w:left="980" w:right="100"/>
        <w:spacing w:after="0" w:line="282" w:lineRule="auto"/>
        <w:rPr>
          <w:sz w:val="20"/>
          <w:szCs w:val="20"/>
          <w:color w:val="auto"/>
        </w:rPr>
      </w:pPr>
      <w:r>
        <w:rPr>
          <w:rFonts w:ascii="Times New Roman" w:cs="Times New Roman" w:eastAsia="Times New Roman" w:hAnsi="Times New Roman"/>
          <w:sz w:val="18"/>
          <w:szCs w:val="18"/>
          <w:color w:val="auto"/>
        </w:rPr>
        <w:t>On November 13, 2025, the Company entered into an agreement with Legence Corp. whereby Legence will acquire The Bowers Group, Inc.</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00"/>
          </w:cols>
          <w:pgMar w:left="440" w:top="266" w:right="55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January 2, 2026, Legence Corp. (“Legence” or the “Company”) completed the acquisition of The Bowers Group, Inc. (“Bowers”) pursuant to the Equity Purchase Agreement dated November 13, 2025 (the “Purchase Agreement”) (the “Acquisition”). Bowers and its subsidiaries operate a business providing specialty mechanical contracting and related services to general contractors and building owners. The Acquisition and related financing transactions are described in the Company’s current report on Form 8-K filed on January 2, 2026. The Acquisition has been accounted for as a business combination in accordance with Financial Accounting Standards Board Accounting Standards Codification (“ASC”) Topic 805, Business Combinations (“ASC 805”), with Legence as the accounting acquirer. The unaudited pro forma condensed combined financial information (the “Pro Forma Financial Information”) has also been adjusted for other significant events during the periods, further described below, which reflect the application of the accounting required by U.S. GAAP, linking the effects of these events to the Company’s historical consolidated financial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(as amended by SEC Release No. 33-10786) (“Article 11”). In addition to the Acquisition, the Company had other significant events during the periods which included a series of organizational transactions (the “Corporate Reorganization”), Initial Public Offering (“IPO”) and related financing transactions which are further described below. The Pro Forma Financial Information is intended to show how the Acquisition, Corporate Reorganization, IPO and related financing transactions (collectively, the “Transactions”) might have affected the Company’s historical financial position and results of operations; it is not necessarily indicative of future results. The Pro Forma Financial Information was derived from the historical financial statements of Legence and Bowers and reflects adjustments depicting the accounting for i) Legence’s Corporate Reorganization, IPO, related repayment of outstanding indebtedness and grant of restricted stock unit and stock options in connection with the offering (the “Corporate Reorganization and Offering Transactions”) ii) the Acquisition and iii) the financing arrangements entered in connection with the Acquisition.</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should be read in conjunction with (i) Legence’s historical financial statements and related notes included or incorporated by reference in the Company’s registration statement filed pursuant to Rule 424(b)(4) on September 15, 2025 (the “Prospectus”), and Legence’s historical financial statements and related notes included in the Company’s Form 10-Q for the third quarter filed on November 14, 2025, and (ii) the historical financial statements and related notes of Bowers included in this filing.</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is as of September 30, 2025. It contains the historical financial position of Legence that already reflected the Corporate Reorganization and Offering Transactions and the audited historical balance sheet of Bowers. It is presented to reflect adjustments depicting accounting for the Acquisition and related financing as if the Acquisition closed on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nine months ended September 30, 2025, and the year ended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December 31, 2024, are presented to reflect adjustments depicting the accounting for the Acquisition, the related financing agreement, and the Corporate Reorganization and Offering Transactions made on the unaudited pro forma condensed combined balance sheet assuming the Acquisition closed on January 1, 2024.</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 Forma Financial Information gives effect to the Transactions, which includes adjustments for the following:</w:t>
      </w:r>
    </w:p>
    <w:p>
      <w:pPr>
        <w:spacing w:after="0" w:line="131" w:lineRule="exact"/>
        <w:rPr>
          <w:sz w:val="20"/>
          <w:szCs w:val="20"/>
          <w:color w:val="auto"/>
        </w:rPr>
      </w:pPr>
    </w:p>
    <w:p>
      <w:pPr>
        <w:ind w:left="960" w:right="32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Corporate Reorganization and IPO, including the grant of restricted stock units and stock options and the repayment of indebtedness in connection with the IPO;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alignment of the Bowers financial statements to conform with Legence financial statement presentation and accounting policies; and</w:t>
      </w:r>
    </w:p>
    <w:p>
      <w:pPr>
        <w:sectPr>
          <w:pgSz w:w="11900" w:h="16838" w:orient="portrait"/>
          <w:cols w:equalWidth="0" w:num="1">
            <w:col w:w="11020"/>
          </w:cols>
          <w:pgMar w:left="440" w:top="117" w:right="439" w:bottom="1440" w:gutter="0" w:footer="0" w:header="0"/>
        </w:sectPr>
      </w:pPr>
    </w:p>
    <w:bookmarkStart w:id="30" w:name="page31"/>
    <w:bookmarkEnd w:id="30"/>
    <w:p>
      <w:pPr>
        <w:ind w:left="960" w:right="8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application of the acquisition method of accounting under the provision of ASC 805 and to reflect estimated consideration transferred of approximately $435.0 million;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and uses of the financing arrangements entered in connection with the Acquisition;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costs incurred and expected to be incurred in connection with the Acquisition;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between noncontrolling interest (“NCI”) and Legence stockholders due to the Acquisition and related financing.</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on available information and upon assumptions that Legence management believes are reasonable to reflect, on a pro forma basis, the effect of Transactions on the historical financial information of Legence. The adjustments are described in the notes to the unaudited pro forma condensed combined balance sheet and the unaudited pro forma condensed combined statements of operations.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is presented for informational purposes only and does not purport to represent the actual results of operations or financial position that would have occurred had the Transactions been completed on the dates indicated, nor is it necessarily indicative of the results to be expected in any future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Corporate Reorganization and Offering Transactions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11, 2025, the Securities and Exchange Commission declared effective Legence Corp.’s registration statement on Form S-1 relating to its IPO. The Company’s Class A common stock (“Class A Common Stock”) commenced trading on the Nasdaq Global Select Market on</w:t>
      </w: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September 12, 2025, and the IPO closed on September 15, 2025. The Company issued and sold 29,487,627 shares of Class A Common Stock, including shares issued upon the partial exercise of the underwriters’ option to purchase additional shares, at a public offering price of $28.00 per share, resulting in net proceeds of approximately $780.2 million after underwriting discounts and commissions.</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IPO, the Company completed a series of organizational transactions that resulted in an Umbrella Partnership-C Corporation (“UP-C”) structure, under which Legence Corp. became the managing member of Legence Holdings, LLC (“Legence Holdings”) The Company contributed the net proceeds from the IPO to Legence Holdings in exchange for newly issued limited liability company interests, and Legence Holdings used the proceeds to pay offering-related costs and repay outstanding indebtedness. Following the Corporate Reorganization and the IPO,</w:t>
      </w:r>
    </w:p>
    <w:p>
      <w:pPr>
        <w:spacing w:after="0" w:line="3"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Legence consolidates Legence Holdings and reports noncontrolling interest representing the equity interests in Legence Holdings not owned by the Company.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Acquisition</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November 13, 2025, Legence, together with its wholly owned subsidiary, Legence Subsidiary Holdings, LLC, a Delaware limited liability company (the “Purchaser”), entered into a Purchase Agreement with Bowers, and with the Wayne E. Bowers Revocable Living Trust, the Quiet Harbor Trust, and The David O’Donnell Revocable Trust dated November 15, 2008 (each, a “Seller” and collectively, the “Sellers”).</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terms of the Purchase Agreement, the parties undertook a series of reorganization steps whereby (i) the Sellers caused Bowers and certain of its subsidiaries to convert into Maryland limited liability companies, (ii) the Sellers contributed 100% of their equity interests in Bowers (the “Bowers Interests”) to a newly formed Delaware limited liability company (“NewCo”), wholly owned by the Sellers, and (iii) NewCo joined the Purchase Agreement as a party (collectively, the “Bowers Reorganization”).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January 2, 2026 (the “Closing Date”), Legence completed the acquisition of all the outstanding Bowers Interests from NewCo pursuant to the terms and conditions of the Purchase Agreement. At the closing of the Acquisition, the Company paid aggregate consideration consisting of:</w:t>
      </w:r>
    </w:p>
    <w:p>
      <w:pPr>
        <w:spacing w:after="0" w:line="67" w:lineRule="exact"/>
        <w:rPr>
          <w:sz w:val="20"/>
          <w:szCs w:val="20"/>
          <w:color w:val="auto"/>
        </w:rPr>
      </w:pPr>
    </w:p>
    <w:p>
      <w:pPr>
        <w:ind w:left="5460" w:right="2080" w:hanging="4924"/>
        <w:spacing w:after="0" w:line="454" w:lineRule="auto"/>
        <w:tabs>
          <w:tab w:leader="none" w:pos="9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$291.4 million paid in cash, subject to customary post-closing purchase price adjustments; and 1</w:t>
      </w:r>
    </w:p>
    <w:p>
      <w:pPr>
        <w:sectPr>
          <w:pgSz w:w="11900" w:h="16838" w:orient="portrait"/>
          <w:cols w:equalWidth="0" w:num="1">
            <w:col w:w="11000"/>
          </w:cols>
          <w:pgMar w:left="440" w:top="270" w:right="459" w:bottom="1440" w:gutter="0" w:footer="0" w:header="0"/>
        </w:sectPr>
      </w:pPr>
    </w:p>
    <w:bookmarkStart w:id="31" w:name="page32"/>
    <w:bookmarkEnd w:id="31"/>
    <w:p>
      <w:pPr>
        <w:ind w:left="960" w:right="50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2,551,672 shares of Legence Class A Common Stock with a preliminary fair value of approximately $98.6 million, which includes a discount due to certain lock-up and other provisions; and</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consideration with a preliminary fair value of $44.9 million, payable on December 31, 2026, in cash, Class A Common Stock, or a combination thereof, at Legence’s discretion.</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issued in the Acquisition are subject to applicable restrictive legends under the Securities Act of 1933, as amended, and are subject to a contractual lock-up on transfers, subject to specified exceptions, through and including March 10, 2026.</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Concurrently, Legence Holdings amended its existing credit agreement to add an incremental term loan of $200.0 million that was drawn in full at closing of the Acquisition. The incremental term loan proceeds, together with cash on hand and borrowings under the revolving credit facility, were used to fund cash consideration and transaction-related fees and expenses.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Legence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September 30, 2025</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par value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5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Pro Forma</w:t>
            </w: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The Bowers</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Combined</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Group, Inc.</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14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Legence</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5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14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Corp.</w:t>
            </w: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Adjusted</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52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54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r>
      <w:tr>
        <w:trPr>
          <w:trHeight w:val="155"/>
        </w:trPr>
        <w:tc>
          <w:tcPr>
            <w:tcW w:w="514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(Note 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Combined</w:t>
            </w:r>
          </w:p>
        </w:tc>
      </w:tr>
      <w:tr>
        <w:trPr>
          <w:trHeight w:val="128"/>
        </w:trPr>
        <w:tc>
          <w:tcPr>
            <w:tcW w:w="514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176,034</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56,986</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(291,411)</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4B</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(63,502)</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195,917</w:t>
            </w:r>
          </w:p>
        </w:tc>
        <w:tc>
          <w:tcPr>
            <w:tcW w:w="5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4L</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132,415</w:t>
            </w:r>
          </w:p>
        </w:tc>
      </w:tr>
      <w:tr>
        <w:trPr>
          <w:trHeight w:val="149"/>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(5,111)</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4F</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588,433</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147,362</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735,795</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735,795</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Contract assets, net</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234,302</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63,686</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297,988</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297,988</w:t>
            </w: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39,038</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3,785</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42,823</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42,823</w:t>
            </w:r>
          </w:p>
        </w:tc>
      </w:tr>
      <w:tr>
        <w:trPr>
          <w:trHeight w:val="156"/>
        </w:trPr>
        <w:tc>
          <w:tcPr>
            <w:tcW w:w="514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1,037,807</w:t>
            </w: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271,819</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(296,522)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1,013,104</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195,917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1,209,021</w:t>
            </w:r>
          </w:p>
        </w:tc>
        <w:tc>
          <w:tcPr>
            <w:tcW w:w="100" w:type="dxa"/>
            <w:vAlign w:val="bottom"/>
          </w:tcPr>
          <w:p>
            <w:pPr>
              <w:spacing w:after="0"/>
              <w:rPr>
                <w:sz w:val="13"/>
                <w:szCs w:val="13"/>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81,094</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6,735</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6,120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4C</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95,850</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95,850</w:t>
            </w:r>
          </w:p>
        </w:tc>
      </w:tr>
      <w:tr>
        <w:trPr>
          <w:trHeight w:val="148"/>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1,901</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106,469</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17,036</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4E</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129,705</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129,705</w:t>
            </w:r>
          </w:p>
        </w:tc>
      </w:tr>
      <w:tr>
        <w:trPr>
          <w:trHeight w:val="149"/>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3,200</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4J</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782,931</w:t>
            </w: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(105,125)</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4A</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820,590</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820,590</w:t>
            </w:r>
          </w:p>
        </w:tc>
      </w:tr>
      <w:tr>
        <w:trPr>
          <w:trHeight w:val="148"/>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434,987</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4B</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(6,120)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4C</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(302,200)</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(3,000)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4E</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5,272</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4G</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14,433</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4H</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4J</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562,361</w:t>
            </w: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302,200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864,561</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864,561</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29,607</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6,033</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(5,272)</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4G</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30,368</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30,368</w:t>
            </w:r>
          </w:p>
        </w:tc>
      </w:tr>
      <w:tr>
        <w:trPr>
          <w:trHeight w:val="27"/>
        </w:trPr>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1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1,562,462</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29,804</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348,808</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1,941,074</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1,941,074</w:t>
            </w:r>
          </w:p>
        </w:tc>
      </w:tr>
      <w:tr>
        <w:trPr>
          <w:trHeight w:val="156"/>
        </w:trPr>
        <w:tc>
          <w:tcPr>
            <w:tcW w:w="5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2,600,269</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301,623</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52,286</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2,954,178</w:t>
            </w:r>
          </w:p>
        </w:tc>
        <w:tc>
          <w:tcPr>
            <w:tcW w:w="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195,917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3,150,095</w:t>
            </w:r>
          </w:p>
        </w:tc>
        <w:tc>
          <w:tcPr>
            <w:tcW w:w="100" w:type="dxa"/>
            <w:vAlign w:val="bottom"/>
          </w:tcPr>
          <w:p>
            <w:pPr>
              <w:spacing w:after="0"/>
              <w:rPr>
                <w:sz w:val="13"/>
                <w:szCs w:val="13"/>
                <w:color w:val="auto"/>
              </w:rPr>
            </w:pPr>
          </w:p>
        </w:tc>
      </w:tr>
      <w:tr>
        <w:trPr>
          <w:trHeight w:val="20"/>
        </w:trPr>
        <w:tc>
          <w:tcPr>
            <w:tcW w:w="5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1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224,256</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68,249</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4F</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292,255</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5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4L</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292,308</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89,832</w:t>
            </w: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23,398</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4H</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113,230</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113,230</w:t>
            </w:r>
          </w:p>
        </w:tc>
      </w:tr>
      <w:tr>
        <w:trPr>
          <w:trHeight w:val="149"/>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25,659</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33,849</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44,941</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4B</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104,449</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104,449</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285,894</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76,776</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362,670</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362,670</w:t>
            </w: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18,051</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3,701</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4J</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22,604</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22,604</w:t>
            </w:r>
          </w:p>
        </w:tc>
      </w:tr>
      <w:tr>
        <w:trPr>
          <w:trHeight w:val="149"/>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16,301</w:t>
            </w: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4K</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17,125</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17,125</w:t>
            </w:r>
          </w:p>
        </w:tc>
      </w:tr>
      <w:tr>
        <w:trPr>
          <w:trHeight w:val="27"/>
        </w:trPr>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1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659,993</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182,575</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69,765</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912,333</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912,386</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Long-term debt, net of current portion</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812,628</w:t>
            </w: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1,077</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4K</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813,705</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198,991</w:t>
            </w:r>
          </w:p>
        </w:tc>
        <w:tc>
          <w:tcPr>
            <w:tcW w:w="5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4L</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1,012,696</w:t>
            </w:r>
          </w:p>
        </w:tc>
      </w:tr>
      <w:tr>
        <w:trPr>
          <w:trHeight w:val="149"/>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94,568</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13,923</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1,760</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4J</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110,251</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110,251</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 receivable agreement liability - related party</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146,474</w:t>
            </w: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146,474</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146,474</w:t>
            </w: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41,543</w:t>
            </w: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41,543</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41,543</w:t>
            </w:r>
          </w:p>
        </w:tc>
      </w:tr>
      <w:tr>
        <w:trPr>
          <w:trHeight w:val="149"/>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17,590</w:t>
            </w: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17,590</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17,590</w:t>
            </w:r>
          </w:p>
        </w:tc>
      </w:tr>
      <w:tr>
        <w:trPr>
          <w:trHeight w:val="27"/>
        </w:trPr>
        <w:tc>
          <w:tcPr>
            <w:tcW w:w="5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14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1,112,803</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13,923</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2,837</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1,129,563</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198,991</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1,328,554</w:t>
            </w:r>
          </w:p>
        </w:tc>
      </w:tr>
      <w:tr>
        <w:trPr>
          <w:trHeight w:val="155"/>
        </w:trPr>
        <w:tc>
          <w:tcPr>
            <w:tcW w:w="5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1,772,796</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196,498</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72,602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2,041,896</w:t>
            </w:r>
          </w:p>
        </w:tc>
        <w:tc>
          <w:tcPr>
            <w:tcW w:w="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199,044</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2,240,940</w:t>
            </w:r>
          </w:p>
        </w:tc>
        <w:tc>
          <w:tcPr>
            <w:tcW w:w="100" w:type="dxa"/>
            <w:vAlign w:val="bottom"/>
          </w:tcPr>
          <w:p>
            <w:pPr>
              <w:spacing w:after="0"/>
              <w:rPr>
                <w:sz w:val="13"/>
                <w:szCs w:val="13"/>
                <w:color w:val="auto"/>
              </w:rPr>
            </w:pPr>
          </w:p>
        </w:tc>
      </w:tr>
      <w:tr>
        <w:trPr>
          <w:trHeight w:val="20"/>
        </w:trPr>
        <w:tc>
          <w:tcPr>
            <w:tcW w:w="5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514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EQUITY</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A common stock $ 0.01 par value</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4B</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611</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611</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Class B common stock $ 0.01 par value</w:t>
            </w: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8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467</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467</w:t>
            </w:r>
          </w:p>
        </w:tc>
      </w:tr>
      <w:tr>
        <w:trPr>
          <w:trHeight w:val="149"/>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Common stock $ 0.01 par value - Voting</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4A</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Common stock $ 0.01 par value - Nonvoting</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4A</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664,299</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4A</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737,174</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737,174</w:t>
            </w:r>
          </w:p>
        </w:tc>
      </w:tr>
      <w:tr>
        <w:trPr>
          <w:trHeight w:val="149"/>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98,609</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4B</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(25,734)</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4I</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1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(277,228)</w:t>
            </w: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101,708</w:t>
            </w: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(101,708)</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4A</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(291,054)</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5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4L</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(294,181)</w:t>
            </w:r>
          </w:p>
        </w:tc>
      </w:tr>
      <w:tr>
        <w:trPr>
          <w:trHeight w:val="149"/>
        </w:trPr>
        <w:tc>
          <w:tcPr>
            <w:tcW w:w="5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(4,861)</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4F</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(8,965)</w:t>
            </w: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4H</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4I</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(253)</w:t>
            </w:r>
          </w:p>
        </w:tc>
      </w:tr>
      <w:tr>
        <w:trPr>
          <w:trHeight w:val="155"/>
        </w:trPr>
        <w:tc>
          <w:tcPr>
            <w:tcW w:w="514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Stockholders’ equity</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387,875</w:t>
            </w: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105,125</w:t>
            </w:r>
          </w:p>
        </w:tc>
        <w:tc>
          <w:tcPr>
            <w:tcW w:w="1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(46,055)</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446,945</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(3,127)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443,818</w:t>
            </w:r>
          </w:p>
        </w:tc>
        <w:tc>
          <w:tcPr>
            <w:tcW w:w="100" w:type="dxa"/>
            <w:vAlign w:val="bottom"/>
          </w:tcPr>
          <w:p>
            <w:pPr>
              <w:spacing w:after="0"/>
              <w:rPr>
                <w:sz w:val="13"/>
                <w:szCs w:val="13"/>
                <w:color w:val="auto"/>
              </w:rPr>
            </w:pPr>
          </w:p>
        </w:tc>
      </w:tr>
      <w:tr>
        <w:trPr>
          <w:trHeight w:val="148"/>
        </w:trPr>
        <w:tc>
          <w:tcPr>
            <w:tcW w:w="51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Noncontrolling interests</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439,598</w:t>
            </w:r>
          </w:p>
        </w:tc>
        <w:tc>
          <w:tcPr>
            <w:tcW w:w="80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25,739</w:t>
            </w:r>
          </w:p>
        </w:tc>
        <w:tc>
          <w:tcPr>
            <w:tcW w:w="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4I</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465,337</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465,337</w:t>
            </w:r>
          </w:p>
        </w:tc>
      </w:tr>
      <w:tr>
        <w:trPr>
          <w:trHeight w:val="163"/>
        </w:trPr>
        <w:tc>
          <w:tcPr>
            <w:tcW w:w="5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827,473</w:t>
            </w:r>
          </w:p>
        </w:tc>
        <w:tc>
          <w:tcPr>
            <w:tcW w:w="18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105,125</w:t>
            </w: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(20,316)</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912,282</w:t>
            </w:r>
          </w:p>
        </w:tc>
        <w:tc>
          <w:tcPr>
            <w:tcW w:w="20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(3,127)</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909,155</w:t>
            </w:r>
          </w:p>
        </w:tc>
        <w:tc>
          <w:tcPr>
            <w:tcW w:w="100" w:type="dxa"/>
            <w:vAlign w:val="bottom"/>
          </w:tcPr>
          <w:p>
            <w:pPr>
              <w:spacing w:after="0"/>
              <w:rPr>
                <w:sz w:val="14"/>
                <w:szCs w:val="14"/>
                <w:color w:val="auto"/>
              </w:rPr>
            </w:pPr>
          </w:p>
        </w:tc>
      </w:tr>
      <w:tr>
        <w:trPr>
          <w:trHeight w:val="148"/>
        </w:trPr>
        <w:tc>
          <w:tcPr>
            <w:tcW w:w="5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2,600,269</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301,623</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52,286</w:t>
            </w:r>
          </w:p>
        </w:tc>
        <w:tc>
          <w:tcPr>
            <w:tcW w:w="5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2,954,178</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195,917</w:t>
            </w:r>
          </w:p>
        </w:tc>
        <w:tc>
          <w:tcPr>
            <w:tcW w:w="5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3,150,095</w:t>
            </w:r>
          </w:p>
        </w:tc>
      </w:tr>
      <w:tr>
        <w:trPr>
          <w:trHeight w:val="20"/>
        </w:trPr>
        <w:tc>
          <w:tcPr>
            <w:tcW w:w="5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See accompanying notes to unaudited pro forma condensed combined financial information</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33" w:name="page34"/>
    <w:bookmarkEnd w:id="3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Legence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9"/>
              </w:rPr>
              <w:t>The Bowers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Reorganization</w:t>
            </w: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Group, Inc.</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Legence</w:t>
            </w: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and Offering</w:t>
            </w:r>
          </w:p>
        </w:tc>
        <w:tc>
          <w:tcPr>
            <w:tcW w:w="48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Legence Corp.</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w:t>
            </w:r>
          </w:p>
        </w:tc>
        <w:tc>
          <w:tcPr>
            <w:tcW w:w="8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Corp.</w:t>
            </w: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480" w:type="dxa"/>
            <w:vAlign w:val="bottom"/>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Adjusted</w:t>
            </w:r>
          </w:p>
        </w:tc>
        <w:tc>
          <w:tcPr>
            <w:tcW w:w="8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5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56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(Note 3)</w:t>
            </w: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Notes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(Note 2)</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52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56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Notes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1,812,849</w:t>
            </w:r>
          </w:p>
        </w:tc>
        <w:tc>
          <w:tcPr>
            <w:tcW w:w="1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1,812,849</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640,520</w:t>
            </w: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(2,950)</w:t>
            </w: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jc w:val="right"/>
              <w:ind w:right="49"/>
              <w:spacing w:after="0" w:line="142" w:lineRule="exact"/>
              <w:rPr>
                <w:sz w:val="20"/>
                <w:szCs w:val="20"/>
                <w:color w:val="auto"/>
              </w:rPr>
            </w:pPr>
            <w:r>
              <w:rPr>
                <w:rFonts w:ascii="Times New Roman" w:cs="Times New Roman" w:eastAsia="Times New Roman" w:hAnsi="Times New Roman"/>
                <w:sz w:val="14"/>
                <w:szCs w:val="14"/>
                <w:b w:val="1"/>
                <w:bCs w:val="1"/>
                <w:color w:val="auto"/>
              </w:rPr>
              <w:t>4II</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2,450,419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1,424,412</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4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3H</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1,425,850</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520,357</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5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4GG</w:t>
            </w: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1,943,291</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(2,950)</w:t>
            </w:r>
          </w:p>
        </w:tc>
        <w:tc>
          <w:tcPr>
            <w:tcW w:w="5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4II</w:t>
            </w: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388,437</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(1,438)</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386,999</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120,163</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(34)</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507,128</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227,814</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5,275</w:t>
            </w:r>
          </w:p>
        </w:tc>
        <w:tc>
          <w:tcPr>
            <w:tcW w:w="4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3H</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233,089</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54,808</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5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4DD</w:t>
            </w: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295,059</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3,643</w:t>
            </w:r>
          </w:p>
        </w:tc>
        <w:tc>
          <w:tcPr>
            <w:tcW w:w="5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4EE</w:t>
            </w: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3,015</w:t>
            </w:r>
          </w:p>
        </w:tc>
        <w:tc>
          <w:tcPr>
            <w:tcW w:w="5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4GG</w:t>
            </w: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5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75,619</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75,619</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5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4AA</w:t>
            </w: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116,812</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37,951</w:t>
            </w:r>
          </w:p>
        </w:tc>
        <w:tc>
          <w:tcPr>
            <w:tcW w:w="5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4BB</w:t>
            </w: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5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Acquisition-related costs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(gain) on sale of property and equipment</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joint venture</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85,080</w:t>
            </w:r>
          </w:p>
        </w:tc>
        <w:tc>
          <w:tcPr>
            <w:tcW w:w="1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(6,713)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78,367</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64,044</w:t>
            </w:r>
          </w:p>
        </w:tc>
        <w:tc>
          <w:tcPr>
            <w:tcW w:w="1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(47,078)</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Borders>
              <w:top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b w:val="1"/>
                <w:bCs w:val="1"/>
                <w:color w:val="auto"/>
                <w:w w:val="85"/>
              </w:rPr>
              <w:t>— </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95,333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88,228</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(50,710)</w:t>
            </w:r>
          </w:p>
        </w:tc>
        <w:tc>
          <w:tcPr>
            <w:tcW w:w="48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3G</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37,518</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52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10,501</w:t>
            </w:r>
          </w:p>
        </w:tc>
        <w:tc>
          <w:tcPr>
            <w:tcW w:w="5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4LL</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48,051</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(2,588)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(4,481)</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(5,685)</w:t>
            </w:r>
          </w:p>
        </w:tc>
        <w:tc>
          <w:tcPr>
            <w:tcW w:w="48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3I</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Credit agreement amendment fees</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(268)</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63"/>
        </w:trPr>
        <w:tc>
          <w:tcPr>
            <w:tcW w:w="3200" w:type="dxa"/>
            <w:vAlign w:val="bottom"/>
          </w:tcPr>
          <w:p>
            <w:pPr>
              <w:ind w:left="280"/>
              <w:spacing w:after="0" w:line="155" w:lineRule="exact"/>
              <w:rPr>
                <w:sz w:val="20"/>
                <w:szCs w:val="20"/>
                <w:color w:val="auto"/>
              </w:rPr>
            </w:pPr>
            <w:r>
              <w:rPr>
                <w:rFonts w:ascii="Times New Roman" w:cs="Times New Roman" w:eastAsia="Times New Roman" w:hAnsi="Times New Roman"/>
                <w:sz w:val="14"/>
                <w:szCs w:val="14"/>
                <w:color w:val="auto"/>
              </w:rPr>
              <w:t>Total Other expenses, net</w:t>
            </w: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94,047</w:t>
            </w:r>
          </w:p>
        </w:tc>
        <w:tc>
          <w:tcPr>
            <w:tcW w:w="1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(56,395)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37,652</w:t>
            </w:r>
          </w:p>
        </w:tc>
        <w:tc>
          <w:tcPr>
            <w:tcW w:w="18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(1,922)</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10,501</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46,263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(8,967)</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49,682</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40,715</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65,966</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(47,110)</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(10,501)</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49,070</w:t>
            </w: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13,662</w:t>
            </w: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(2,921)</w:t>
            </w:r>
          </w:p>
        </w:tc>
        <w:tc>
          <w:tcPr>
            <w:tcW w:w="48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3E</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10,741</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52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4FF</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5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4MM</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12,628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(22,629)</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52,603</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29,974</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62,016</w:t>
            </w: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46,591</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(8,957)</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36,442</w:t>
            </w:r>
          </w:p>
        </w:tc>
        <w:tc>
          <w:tcPr>
            <w:tcW w:w="0" w:type="dxa"/>
            <w:vAlign w:val="bottom"/>
          </w:tcPr>
          <w:p>
            <w:pPr>
              <w:spacing w:after="0"/>
              <w:rPr>
                <w:sz w:val="1"/>
                <w:szCs w:val="1"/>
                <w:color w:val="auto"/>
              </w:rPr>
            </w:pPr>
          </w:p>
        </w:tc>
      </w:tr>
      <w:tr>
        <w:trPr>
          <w:trHeight w:val="126"/>
        </w:trPr>
        <w:tc>
          <w:tcPr>
            <w:tcW w:w="3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4,430</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10,518</w:t>
            </w:r>
          </w:p>
        </w:tc>
        <w:tc>
          <w:tcPr>
            <w:tcW w:w="4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3F</w:t>
            </w: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14,948</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7,655</w:t>
            </w:r>
          </w:p>
        </w:tc>
        <w:tc>
          <w:tcPr>
            <w:tcW w:w="5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4JJ</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(4,550)</w:t>
            </w:r>
          </w:p>
        </w:tc>
        <w:tc>
          <w:tcPr>
            <w:tcW w:w="5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4NN</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18,053</w:t>
            </w:r>
          </w:p>
        </w:tc>
        <w:tc>
          <w:tcPr>
            <w:tcW w:w="0" w:type="dxa"/>
            <w:vAlign w:val="bottom"/>
          </w:tcPr>
          <w:p>
            <w:pPr>
              <w:spacing w:after="0"/>
              <w:rPr>
                <w:sz w:val="1"/>
                <w:szCs w:val="1"/>
                <w:color w:val="auto"/>
              </w:rPr>
            </w:pPr>
          </w:p>
        </w:tc>
      </w:tr>
      <w:tr>
        <w:trPr>
          <w:trHeight w:val="171"/>
        </w:trPr>
        <w:tc>
          <w:tcPr>
            <w:tcW w:w="3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interests</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 attributable to Legence</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(27,059)</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42,085</w:t>
            </w:r>
          </w:p>
        </w:tc>
        <w:tc>
          <w:tcPr>
            <w:tcW w:w="4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15,026</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62,016</w:t>
            </w: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(54,246)</w:t>
            </w:r>
          </w:p>
        </w:tc>
        <w:tc>
          <w:tcPr>
            <w:tcW w:w="5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(4,407)</w:t>
            </w:r>
          </w:p>
        </w:tc>
        <w:tc>
          <w:tcPr>
            <w:tcW w:w="5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18,389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Period from</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September 12,</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8"/>
              </w:rPr>
              <w:t>2025 to</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w:t>
            </w:r>
            <w:r>
              <w:rPr>
                <w:rFonts w:ascii="Times New Roman" w:cs="Times New Roman" w:eastAsia="Times New Roman" w:hAnsi="Times New Roman"/>
                <w:sz w:val="10"/>
                <w:szCs w:val="10"/>
                <w:color w:val="auto"/>
              </w:rPr>
              <w:t>(1)</w:t>
            </w: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Weighted Average Class A Common Shares: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58,511</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62,516</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58,511</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62,855</w:t>
            </w:r>
          </w:p>
        </w:tc>
        <w:tc>
          <w:tcPr>
            <w:tcW w:w="0" w:type="dxa"/>
            <w:vAlign w:val="bottom"/>
          </w:tcPr>
          <w:p>
            <w:pPr>
              <w:spacing w:after="0"/>
              <w:rPr>
                <w:sz w:val="1"/>
                <w:szCs w:val="1"/>
                <w:color w:val="auto"/>
              </w:rPr>
            </w:pPr>
          </w:p>
        </w:tc>
      </w:tr>
      <w:tr>
        <w:trPr>
          <w:trHeight w:val="149"/>
        </w:trPr>
        <w:tc>
          <w:tcPr>
            <w:tcW w:w="3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Earnings per share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(0.02)</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24" w:right="180" w:hanging="424"/>
        <w:spacing w:after="0" w:line="266"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Legence historical computation of basic and diluted earnings per share of Class A Common Stock represents the period from September 12, 2025 to September 30, 2025, the period where the Company had Class A Common Stock and Class B Common Stock outstanding. Prior to the IPO, Legence Holdings was a single-member limited liability company and did not present earnings per share.</w:t>
      </w:r>
    </w:p>
    <w:p>
      <w:pPr>
        <w:spacing w:after="0" w:line="1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combined financial information.</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Legence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The Bowers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Reorganization</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Group, Inc.</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Legence</w:t>
            </w:r>
          </w:p>
        </w:tc>
        <w:tc>
          <w:tcPr>
            <w:tcW w:w="9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Offering</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3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Holdings</w:t>
            </w:r>
          </w:p>
        </w:tc>
        <w:tc>
          <w:tcPr>
            <w:tcW w:w="9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Adjustments</w:t>
            </w:r>
          </w:p>
        </w:tc>
        <w:tc>
          <w:tcPr>
            <w:tcW w:w="5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Legence Corp.</w:t>
            </w: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Adjusted</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5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Financing</w:t>
            </w:r>
          </w:p>
        </w:tc>
        <w:tc>
          <w:tcPr>
            <w:tcW w:w="58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r>
      <w:tr>
        <w:trPr>
          <w:trHeight w:val="155"/>
        </w:trPr>
        <w:tc>
          <w:tcPr>
            <w:tcW w:w="33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(Note 3)</w:t>
            </w: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(Note 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Notes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6"/>
              </w:rPr>
              <w:t>Combined</w:t>
            </w: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2,098,602</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2,098,602</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554,207</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w:t>
            </w: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jc w:val="right"/>
              <w:ind w:right="69"/>
              <w:spacing w:after="0" w:line="142" w:lineRule="exact"/>
              <w:rPr>
                <w:sz w:val="20"/>
                <w:szCs w:val="20"/>
                <w:color w:val="auto"/>
              </w:rPr>
            </w:pPr>
            <w:r>
              <w:rPr>
                <w:rFonts w:ascii="Times New Roman" w:cs="Times New Roman" w:eastAsia="Times New Roman" w:hAnsi="Times New Roman"/>
                <w:sz w:val="14"/>
                <w:szCs w:val="14"/>
                <w:b w:val="1"/>
                <w:bCs w:val="1"/>
                <w:color w:val="auto"/>
              </w:rPr>
              <w:t>4II</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2,652,632</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1,667,835</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2,088</w:t>
            </w:r>
          </w:p>
        </w:tc>
        <w:tc>
          <w:tcPr>
            <w:tcW w:w="5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3H</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1,669,923</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448,844</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4GG</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2,119,907</w:t>
            </w:r>
          </w:p>
        </w:tc>
      </w:tr>
      <w:tr>
        <w:trPr>
          <w:trHeight w:val="148"/>
        </w:trPr>
        <w:tc>
          <w:tcPr>
            <w:tcW w:w="3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4II</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6"/>
        </w:trPr>
        <w:tc>
          <w:tcPr>
            <w:tcW w:w="33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120" w:type="dxa"/>
            <w:vAlign w:val="bottom"/>
          </w:tcPr>
          <w:p>
            <w:pPr>
              <w:spacing w:after="0"/>
              <w:rPr>
                <w:sz w:val="13"/>
                <w:szCs w:val="13"/>
                <w:color w:val="auto"/>
              </w:rPr>
            </w:pPr>
          </w:p>
        </w:tc>
        <w:tc>
          <w:tcPr>
            <w:tcW w:w="5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430,767</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(2,088)</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428,679</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105,363</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(1,317)</w:t>
            </w:r>
          </w:p>
        </w:tc>
        <w:tc>
          <w:tcPr>
            <w:tcW w:w="5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532,725</w:t>
            </w: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242,888</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7,661</w:t>
            </w:r>
          </w:p>
        </w:tc>
        <w:tc>
          <w:tcPr>
            <w:tcW w:w="5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3H</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250,549</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55,983</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604</w:t>
            </w:r>
          </w:p>
        </w:tc>
        <w:tc>
          <w:tcPr>
            <w:tcW w:w="5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4DD</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326,442</w:t>
            </w:r>
          </w:p>
        </w:tc>
      </w:tr>
      <w:tr>
        <w:trPr>
          <w:trHeight w:val="149"/>
        </w:trPr>
        <w:tc>
          <w:tcPr>
            <w:tcW w:w="3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15,147</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4EE</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3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4,042</w:t>
            </w:r>
          </w:p>
        </w:tc>
        <w:tc>
          <w:tcPr>
            <w:tcW w:w="5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4GG</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97,153</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97,153</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3,576</w:t>
            </w:r>
          </w:p>
        </w:tc>
        <w:tc>
          <w:tcPr>
            <w:tcW w:w="5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4AA</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153,110</w:t>
            </w:r>
          </w:p>
        </w:tc>
      </w:tr>
      <w:tr>
        <w:trPr>
          <w:trHeight w:val="148"/>
        </w:trPr>
        <w:tc>
          <w:tcPr>
            <w:tcW w:w="33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50,601</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4BB</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5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Acquisition-related costs</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5,634</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5,634</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13,826</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4CC</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19,460</w:t>
            </w: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17,804</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17,804</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17,804</w:t>
            </w: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in earnings of joint venture</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(3,063)</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(3,063)</w:t>
            </w:r>
          </w:p>
        </w:tc>
      </w:tr>
      <w:tr>
        <w:trPr>
          <w:trHeight w:val="156"/>
        </w:trPr>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70,351</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(9,749)</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60,602</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47,830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(89,460)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18,972</w:t>
            </w:r>
          </w:p>
        </w:tc>
        <w:tc>
          <w:tcPr>
            <w:tcW w:w="100" w:type="dxa"/>
            <w:vAlign w:val="bottom"/>
          </w:tcPr>
          <w:p>
            <w:pPr>
              <w:spacing w:after="0"/>
              <w:rPr>
                <w:sz w:val="13"/>
                <w:szCs w:val="13"/>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91,609</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(74,945)</w:t>
            </w:r>
          </w:p>
        </w:tc>
        <w:tc>
          <w:tcPr>
            <w:tcW w:w="50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3G</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16,664</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5,059</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4HH</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16,939</w:t>
            </w:r>
          </w:p>
        </w:tc>
        <w:tc>
          <w:tcPr>
            <w:tcW w:w="5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4LL</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38,946</w:t>
            </w:r>
          </w:p>
        </w:tc>
      </w:tr>
      <w:tr>
        <w:trPr>
          <w:trHeight w:val="148"/>
        </w:trPr>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54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4KK</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(5,464)</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(5,464)</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(8,162)</w:t>
            </w: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debt extinguishment</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12,433</w:t>
            </w:r>
          </w:p>
        </w:tc>
        <w:tc>
          <w:tcPr>
            <w:tcW w:w="50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3I</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12,433</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12,433</w:t>
            </w: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Credit agreement amendment fees</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7,801</w:t>
            </w:r>
          </w:p>
        </w:tc>
        <w:tc>
          <w:tcPr>
            <w:tcW w:w="9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7,801</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5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4LL</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10,928</w:t>
            </w: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(521)</w:t>
            </w:r>
          </w:p>
        </w:tc>
      </w:tr>
      <w:tr>
        <w:trPr>
          <w:trHeight w:val="27"/>
        </w:trPr>
        <w:tc>
          <w:tcPr>
            <w:tcW w:w="3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Other expenses, net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93,473</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(62,512)</w:t>
            </w:r>
          </w:p>
        </w:tc>
        <w:tc>
          <w:tcPr>
            <w:tcW w:w="5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30,961</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(2,530)</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5,127</w:t>
            </w:r>
          </w:p>
        </w:tc>
        <w:tc>
          <w:tcPr>
            <w:tcW w:w="5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20,066</w:t>
            </w:r>
          </w:p>
        </w:tc>
        <w:tc>
          <w:tcPr>
            <w:tcW w:w="5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53,624</w:t>
            </w:r>
          </w:p>
        </w:tc>
      </w:tr>
      <w:tr>
        <w:trPr>
          <w:trHeight w:val="156"/>
        </w:trPr>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(23,122)</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52,763</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29,641</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50,360</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(94,587)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(20,066)</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(34,652)</w:t>
            </w:r>
          </w:p>
        </w:tc>
        <w:tc>
          <w:tcPr>
            <w:tcW w:w="100" w:type="dxa"/>
            <w:vAlign w:val="bottom"/>
          </w:tcPr>
          <w:p>
            <w:pPr>
              <w:spacing w:after="0"/>
              <w:rPr>
                <w:sz w:val="13"/>
                <w:szCs w:val="13"/>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4,521</w:t>
            </w:r>
          </w:p>
        </w:tc>
        <w:tc>
          <w:tcPr>
            <w:tcW w:w="9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50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3E</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4,154</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2,216</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(8,354)</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4FF</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(2,964)</w:t>
            </w:r>
          </w:p>
        </w:tc>
        <w:tc>
          <w:tcPr>
            <w:tcW w:w="5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4MM</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(4,948)</w:t>
            </w:r>
          </w:p>
        </w:tc>
      </w:tr>
      <w:tr>
        <w:trPr>
          <w:trHeight w:val="156"/>
        </w:trPr>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(27,643)</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53,130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25,487</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48,144</w:t>
            </w: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(86,233)</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(17,102)</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(29,704)</w:t>
            </w:r>
          </w:p>
        </w:tc>
        <w:tc>
          <w:tcPr>
            <w:tcW w:w="100" w:type="dxa"/>
            <w:vAlign w:val="bottom"/>
          </w:tcPr>
          <w:p>
            <w:pPr>
              <w:spacing w:after="0"/>
              <w:rPr>
                <w:sz w:val="13"/>
                <w:szCs w:val="13"/>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9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10,743</w:t>
            </w:r>
          </w:p>
        </w:tc>
        <w:tc>
          <w:tcPr>
            <w:tcW w:w="500" w:type="dxa"/>
            <w:vAlign w:val="bottom"/>
            <w:shd w:val="clear" w:color="auto" w:fill="CCEEFF"/>
          </w:tcPr>
          <w:p>
            <w:pPr>
              <w:jc w:val="right"/>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3F</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11,655</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(19,587)</w:t>
            </w:r>
          </w:p>
        </w:tc>
        <w:tc>
          <w:tcPr>
            <w:tcW w:w="54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4JJ</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(8,694)</w:t>
            </w:r>
          </w:p>
        </w:tc>
        <w:tc>
          <w:tcPr>
            <w:tcW w:w="5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4NN</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(16,626)</w:t>
            </w:r>
          </w:p>
        </w:tc>
      </w:tr>
      <w:tr>
        <w:trPr>
          <w:trHeight w:val="155"/>
        </w:trPr>
        <w:tc>
          <w:tcPr>
            <w:tcW w:w="33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 attributable to Legence</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(28,555)</w:t>
            </w:r>
          </w:p>
        </w:tc>
        <w:tc>
          <w:tcPr>
            <w:tcW w:w="2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42,387</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13,832</w:t>
            </w:r>
          </w:p>
        </w:tc>
        <w:tc>
          <w:tcPr>
            <w:tcW w:w="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48,144</w:t>
            </w:r>
          </w:p>
        </w:tc>
        <w:tc>
          <w:tcPr>
            <w:tcW w:w="1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(66,646)</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(8,408)</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(13,078)</w:t>
            </w:r>
          </w:p>
        </w:tc>
        <w:tc>
          <w:tcPr>
            <w:tcW w:w="100" w:type="dxa"/>
            <w:vAlign w:val="bottom"/>
          </w:tcPr>
          <w:p>
            <w:pPr>
              <w:spacing w:after="0"/>
              <w:rPr>
                <w:sz w:val="13"/>
                <w:szCs w:val="13"/>
                <w:color w:val="auto"/>
              </w:rPr>
            </w:pPr>
          </w:p>
        </w:tc>
      </w:tr>
      <w:tr>
        <w:trPr>
          <w:trHeight w:val="20"/>
        </w:trPr>
        <w:tc>
          <w:tcPr>
            <w:tcW w:w="3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3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Class A Common Shares: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61,063</w:t>
            </w: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61,063</w:t>
            </w: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per share</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(0.21)</w:t>
            </w: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(0.21)</w:t>
            </w: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condensed combined financial information.</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 1. Basis of Presentation</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historical condensed consolidated financial statements of Legence and the consolidated financial statements of Bowers have been adjusted in the accompanying Pro Forma Financial Information to reflect adjustments reflecting the accounting for the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statements of operations and financial position were prepared using the following historical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Legence</w:t>
      </w:r>
    </w:p>
    <w:p>
      <w:pPr>
        <w:spacing w:after="0" w:line="135" w:lineRule="exact"/>
        <w:rPr>
          <w:sz w:val="20"/>
          <w:szCs w:val="20"/>
          <w:color w:val="auto"/>
        </w:rPr>
      </w:pPr>
    </w:p>
    <w:p>
      <w:pPr>
        <w:ind w:left="960" w:right="58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balance sheet from the Form 10-Q filing for the third quarter as of September 30, 2025, filed on November 14, 2025.</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statement of operations for the nine months ended September 30, 2025, from the Form 10-Q filing for the third quarter filed on November 14, 2025.</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statement of operations for the year ended December 31, 2024, of Legence Holdings and subsidiaries from Legence Corp.’s Prospectus filed pursuant to Rule 424(b)(4) filed on September 15,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Bowers</w:t>
      </w:r>
    </w:p>
    <w:p>
      <w:pPr>
        <w:spacing w:after="0" w:line="135" w:lineRule="exact"/>
        <w:rPr>
          <w:sz w:val="20"/>
          <w:szCs w:val="20"/>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balance sheet as of September 30, 2025, included elsewhere in this filing.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statement of operations for the year ended September 30, 2025, included elsewhere in this filing.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statement of operations for the year ended September 30, 2024, included elsewhere in this filing.</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is presented as if the adjustments made reflecting the accounting for the Acquisition and related financing were made on September 30, 2025. The unaudited pro forma condensed combined statements of operations for the nine months ended September 30, 2025, and the year ended December 31, 2024, are presented as if the adjustments made on the historical balance sheet and the unaudited pro forma condensed combined balance sheet reflect the accounting for the Corporate Reorganization and Offering Transactions and the Acquisition and related financing were made on January 1, 2024.</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unaudited pro forma condensed combined statements of operations for the year ended December 31, 2024, Legence reports on a fiscal year ending December 31, while Bowers historically reported on a fiscal year ending September 30. Since the fiscal year-ends differ by not more than one quarter, consistent with Article 11, Legence combined Bowers’s statement of operations for the year-ended September 30, 2024, with Legence’s statement of operations for the year-ended December 31, 2024.</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order to derive the unaudited pro forma condensed combined statement of operations for the nine months ended September 30, 2025, Bowers’s results of operations for the period October 1, 2024 through December 31, 2024 have been removed from Bowers’s audited consolidated statement of operations for the year ended September 30, 2025.</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Bowers’s revenue for the period from October 1, 2024 through December 31, 2024, was $131.4 million, and its net income for this same period was $9.5 million. During this omitted period, Bowers continued normal operating activities. Management has not identified any unusual or non-recurring transactions for this period that would be necessary to understand the Pro Forma Financial Information. Refer to Note 2.1 below for calculating Bowers’s statement of operations activity for the interim period starting January 1, 2025 through September 30, 2025.</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Legence’s historical results for the year ended December 31, 2024, reflect the operations of Legence Holdings, the Company’s subsidiary upon the Corporate Reorganization and Offering Transactions. The interim financial information for the nine months ended September 30, 2025, is derived from Legence Corp.’s Form 10-Q for the period then ended, and reflects the period following the Corporate Reorganization and Offering Transactions. As a result, the historical periods included in the pro forma information incorporate the change in reporting structure from Legence Holdings to Legence Corp. Refer to Note 3 below for additional information.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audited and unaudited historical consolidated (condensed) financial statements of both Legence and Bowers were prepared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and presented in U.S. dollars.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Acquisition will be accounted for using the acquisition method of accounting, as prescribed in ASC 805, under U.S. GAAP, which requires an allocation of the purchase price to the assets acquired and liabilities assumed, based on their fair values as of the date of the Acquisition. As of the date of this Form 8-K/A filing, Legence has not yet completed its detailed valuations and other activities necessary to arrive at the required final estimates of the fair value of Bowers’s assets acquired and liabilities assumed, therefore the related allocations of purchase price are preliminary.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 of the consideration transferred to be paid by Legence upon the consummation of the Acquisition was measured using Legence’s Class A Common Stock price on the Acquisition date, as adjusted to reflect the contractual terms of the Acquisition, including lock-up restrictions and other limitations on transfer. The pro forma adjustments are preliminary and are subject to change as additional information becomes available and as additional analysis is performed. The preliminary pro forma adjustments have been made solely for the purpose of providing the Pro Forma Financial Information presented herein.</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Legence has estimated the fair value of Bowers’s assets and liabilities based on discussions with Bowers’s management, preliminary valuations and information presented in Bowers’s consolidated financial statements. Any increases or decreases in the fair value of assets acquired and liabilities assumed upon completion of the final valuations would result in adjustments to the unaudited pro forma condensed combined balance sheet and unaudited pro forma condensed combined statements of operations. The final allocation of the consideration transferred may be materially different than that reflected in the pro forma allocation of the consideration transferred presented herein.</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Pro Forma Financial Information should be read in conjunction with the Company’s historical consolidated financial statements and related notes included in its Prospectus filed on September 15, 2025, and its Quarterly Report on Form 10-Q for the period ending September 30, 2025, as well as the historical financial statements of Bowers included elsewhere in this filing pursuant to Rule 3-05 of Regulation S-X.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Reclassification and Accounting Policy Alignment Adjustments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adjustments represent the reclassification adjustments and accounting policy alignment adjustments applied to Bowers’s statement of financial position and combined statement of operations to conform to Legence’s financial statement presentation and significant accounting policies. Bowers’s combined financial statements were mapped to Legence’s financial statement line items, and differences in classification and accounting policies identified through this mapping were recorded as reclassification and policy adjustments.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adjustments reflect only the preliminary assessment of differences and do not represent a final determination of all reclassification and accounting policy differences that may exist between Legence and Bowers. Legence will continue to perform a comprehensive review of Bowers’s accounting policies following the Acquisition. Upon completion of this review, additional differences may be identified, which, once conformed, could result in further adjustments that may have a material impact on the unaudited pro forma condensed combined financial information. The adjustments are summarized below:</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Balance Sheet for the Year Ended 9/30/25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The</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The</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Bowers</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Bowers</w:t>
            </w:r>
          </w:p>
        </w:tc>
        <w:tc>
          <w:tcPr>
            <w:tcW w:w="10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Reclassifications</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Group,</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Group,</w:t>
            </w:r>
          </w:p>
        </w:tc>
        <w:tc>
          <w:tcPr>
            <w:tcW w:w="10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to Conform to</w:t>
            </w:r>
          </w:p>
        </w:tc>
        <w:tc>
          <w:tcPr>
            <w:tcW w:w="50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64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10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Legence’s</w:t>
            </w:r>
          </w:p>
        </w:tc>
        <w:tc>
          <w:tcPr>
            <w:tcW w:w="50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Policy</w:t>
            </w:r>
          </w:p>
        </w:tc>
        <w:tc>
          <w:tcPr>
            <w:tcW w:w="640" w:type="dxa"/>
            <w:vAlign w:val="bottom"/>
          </w:tcPr>
          <w:p>
            <w:pPr>
              <w:spacing w:after="0"/>
              <w:rPr>
                <w:sz w:val="11"/>
                <w:szCs w:val="11"/>
                <w:color w:val="auto"/>
              </w:rPr>
            </w:pPr>
          </w:p>
        </w:tc>
        <w:tc>
          <w:tcPr>
            <w:tcW w:w="7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c>
          <w:tcPr>
            <w:tcW w:w="0" w:type="dxa"/>
            <w:vAlign w:val="bottom"/>
          </w:tcPr>
          <w:p>
            <w:pPr>
              <w:spacing w:after="0"/>
              <w:rPr>
                <w:sz w:val="1"/>
                <w:szCs w:val="1"/>
                <w:color w:val="auto"/>
              </w:rPr>
            </w:pPr>
          </w:p>
        </w:tc>
      </w:tr>
      <w:tr>
        <w:trPr>
          <w:trHeight w:val="155"/>
        </w:trPr>
        <w:tc>
          <w:tcPr>
            <w:tcW w:w="3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Legence Presentation</w:t>
            </w:r>
          </w:p>
        </w:tc>
        <w:tc>
          <w:tcPr>
            <w:tcW w:w="33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Bowers Presentation</w:t>
            </w: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(Historical)</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Presentation</w:t>
            </w:r>
          </w:p>
        </w:tc>
        <w:tc>
          <w:tcPr>
            <w:tcW w:w="5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Adjusted</w:t>
            </w: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56,986</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56,986</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Contract receivables</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147,362</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(147,362)</w:t>
            </w:r>
          </w:p>
        </w:tc>
        <w:tc>
          <w:tcPr>
            <w:tcW w:w="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2A</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3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147,362</w:t>
            </w:r>
          </w:p>
        </w:tc>
        <w:tc>
          <w:tcPr>
            <w:tcW w:w="50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2A</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147,362</w:t>
            </w: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338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Contract assets - costs and estimated earnings in</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24,304</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(24,304)</w:t>
            </w:r>
          </w:p>
        </w:tc>
        <w:tc>
          <w:tcPr>
            <w:tcW w:w="5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2B</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3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excess of billing on uncompleted contracts</w:t>
            </w: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12"/>
                <w:szCs w:val="12"/>
                <w:color w:val="auto"/>
              </w:rPr>
            </w:pP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Contract assets - Conditional retention</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23,029</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(23,029)</w:t>
            </w:r>
          </w:p>
        </w:tc>
        <w:tc>
          <w:tcPr>
            <w:tcW w:w="50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2B</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4"/>
        </w:trPr>
        <w:tc>
          <w:tcPr>
            <w:tcW w:w="30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Contract assets, net</w:t>
            </w:r>
          </w:p>
        </w:tc>
        <w:tc>
          <w:tcPr>
            <w:tcW w:w="3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ind w:right="49"/>
              <w:spacing w:after="0" w:line="124" w:lineRule="exact"/>
              <w:rPr>
                <w:sz w:val="20"/>
                <w:szCs w:val="20"/>
                <w:color w:val="auto"/>
              </w:rPr>
            </w:pPr>
            <w:r>
              <w:rPr>
                <w:rFonts w:ascii="Times New Roman" w:cs="Times New Roman" w:eastAsia="Times New Roman" w:hAnsi="Times New Roman"/>
                <w:sz w:val="14"/>
                <w:szCs w:val="14"/>
                <w:b w:val="1"/>
                <w:bCs w:val="1"/>
                <w:color w:val="auto"/>
              </w:rPr>
              <w:t>2AA,</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0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47,333</w:t>
            </w: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2B</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16,353</w:t>
            </w:r>
          </w:p>
        </w:tc>
        <w:tc>
          <w:tcPr>
            <w:tcW w:w="6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2CC</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63,686</w:t>
            </w:r>
          </w:p>
        </w:tc>
        <w:tc>
          <w:tcPr>
            <w:tcW w:w="0" w:type="dxa"/>
            <w:vAlign w:val="bottom"/>
          </w:tcPr>
          <w:p>
            <w:pPr>
              <w:spacing w:after="0"/>
              <w:rPr>
                <w:sz w:val="1"/>
                <w:szCs w:val="1"/>
                <w:color w:val="auto"/>
              </w:rPr>
            </w:pPr>
          </w:p>
        </w:tc>
      </w:tr>
      <w:tr>
        <w:trPr>
          <w:trHeight w:val="126"/>
        </w:trPr>
        <w:tc>
          <w:tcPr>
            <w:tcW w:w="3020" w:type="dxa"/>
            <w:vAlign w:val="bottom"/>
            <w:shd w:val="clear" w:color="auto" w:fill="CCEEFF"/>
          </w:tcPr>
          <w:p>
            <w:pPr>
              <w:spacing w:after="0"/>
              <w:rPr>
                <w:sz w:val="10"/>
                <w:szCs w:val="10"/>
                <w:color w:val="auto"/>
              </w:rPr>
            </w:pPr>
          </w:p>
        </w:tc>
        <w:tc>
          <w:tcPr>
            <w:tcW w:w="338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Inventories, at lower of cost (weighted average) or</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2,675</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(2,675)</w:t>
            </w:r>
          </w:p>
        </w:tc>
        <w:tc>
          <w:tcPr>
            <w:tcW w:w="500" w:type="dxa"/>
            <w:vAlign w:val="bottom"/>
            <w:vMerge w:val="restart"/>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2C</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market</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2,675</w:t>
            </w:r>
          </w:p>
        </w:tc>
        <w:tc>
          <w:tcPr>
            <w:tcW w:w="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2C</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3,785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3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255,466</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16,353</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271,819</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line="153" w:lineRule="exact"/>
              <w:rPr>
                <w:sz w:val="20"/>
                <w:szCs w:val="20"/>
                <w:color w:val="auto"/>
              </w:rPr>
            </w:pPr>
            <w:r>
              <w:rPr>
                <w:rFonts w:ascii="Times New Roman" w:cs="Times New Roman" w:eastAsia="Times New Roman" w:hAnsi="Times New Roman"/>
                <w:sz w:val="14"/>
                <w:szCs w:val="14"/>
                <w:color w:val="auto"/>
              </w:rPr>
              <w:t>Property and equipment, net of accumulated</w:t>
            </w:r>
          </w:p>
        </w:tc>
        <w:tc>
          <w:tcPr>
            <w:tcW w:w="3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020" w:type="dxa"/>
            <w:vAlign w:val="bottom"/>
            <w:vMerge w:val="continue"/>
          </w:tcPr>
          <w:p>
            <w:pPr>
              <w:spacing w:after="0"/>
              <w:rPr>
                <w:sz w:val="11"/>
                <w:szCs w:val="11"/>
                <w:color w:val="auto"/>
              </w:rPr>
            </w:pPr>
          </w:p>
        </w:tc>
        <w:tc>
          <w:tcPr>
            <w:tcW w:w="3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6,735</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6,735</w:t>
            </w:r>
          </w:p>
        </w:tc>
        <w:tc>
          <w:tcPr>
            <w:tcW w:w="0" w:type="dxa"/>
            <w:vAlign w:val="bottom"/>
          </w:tcPr>
          <w:p>
            <w:pPr>
              <w:spacing w:after="0"/>
              <w:rPr>
                <w:sz w:val="1"/>
                <w:szCs w:val="1"/>
                <w:color w:val="auto"/>
              </w:rPr>
            </w:pPr>
          </w:p>
        </w:tc>
      </w:tr>
      <w:tr>
        <w:trPr>
          <w:trHeight w:val="171"/>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33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17,036</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17,036</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Equipment deposits</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2D</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12"/>
                <w:szCs w:val="12"/>
                <w:color w:val="auto"/>
              </w:rPr>
            </w:pP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Tax deposit</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4,475</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(4,475)</w:t>
            </w:r>
          </w:p>
        </w:tc>
        <w:tc>
          <w:tcPr>
            <w:tcW w:w="50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2D</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Deposits</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2D</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12"/>
                <w:szCs w:val="12"/>
                <w:color w:val="auto"/>
              </w:rPr>
            </w:pP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surrender value of officers’ life insurance</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50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2D</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3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6,033</w:t>
            </w:r>
          </w:p>
        </w:tc>
        <w:tc>
          <w:tcPr>
            <w:tcW w:w="160" w:type="dxa"/>
            <w:vAlign w:val="bottom"/>
          </w:tcPr>
          <w:p>
            <w:pPr>
              <w:spacing w:after="0"/>
              <w:rPr>
                <w:sz w:val="12"/>
                <w:szCs w:val="12"/>
                <w:color w:val="auto"/>
              </w:rPr>
            </w:pPr>
          </w:p>
        </w:tc>
        <w:tc>
          <w:tcPr>
            <w:tcW w:w="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2D</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6,033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3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285,270</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16,353</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301,623</w:t>
            </w:r>
          </w:p>
        </w:tc>
        <w:tc>
          <w:tcPr>
            <w:tcW w:w="0" w:type="dxa"/>
            <w:vAlign w:val="bottom"/>
          </w:tcPr>
          <w:p>
            <w:pPr>
              <w:spacing w:after="0"/>
              <w:rPr>
                <w:sz w:val="1"/>
                <w:szCs w:val="1"/>
                <w:color w:val="auto"/>
              </w:rPr>
            </w:pPr>
          </w:p>
        </w:tc>
      </w:tr>
      <w:tr>
        <w:trPr>
          <w:trHeight w:val="156"/>
        </w:trPr>
        <w:tc>
          <w:tcPr>
            <w:tcW w:w="3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3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3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60,820</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7,429</w:t>
            </w:r>
          </w:p>
        </w:tc>
        <w:tc>
          <w:tcPr>
            <w:tcW w:w="6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2CC</w:t>
            </w: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68,249</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and other current liabilities</w:t>
            </w: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22,684</w:t>
            </w: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11,165</w:t>
            </w:r>
          </w:p>
        </w:tc>
        <w:tc>
          <w:tcPr>
            <w:tcW w:w="50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2E</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33,849</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Retentions payable</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10,035</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(10,035)</w:t>
            </w:r>
          </w:p>
        </w:tc>
        <w:tc>
          <w:tcPr>
            <w:tcW w:w="5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2E</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3020" w:type="dxa"/>
            <w:vAlign w:val="bottom"/>
            <w:shd w:val="clear" w:color="auto" w:fill="CCEEFF"/>
          </w:tcPr>
          <w:p>
            <w:pPr>
              <w:spacing w:after="0"/>
              <w:rPr>
                <w:sz w:val="10"/>
                <w:szCs w:val="10"/>
                <w:color w:val="auto"/>
              </w:rPr>
            </w:pPr>
          </w:p>
        </w:tc>
        <w:tc>
          <w:tcPr>
            <w:tcW w:w="338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Contract liabilities - billing in excess of costs and</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124,013</w:t>
            </w: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(124,013)</w:t>
            </w:r>
          </w:p>
        </w:tc>
        <w:tc>
          <w:tcPr>
            <w:tcW w:w="500" w:type="dxa"/>
            <w:vAlign w:val="bottom"/>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2F</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spacing w:after="0"/>
              <w:rPr>
                <w:sz w:val="14"/>
                <w:szCs w:val="14"/>
                <w:color w:val="auto"/>
              </w:rPr>
            </w:pPr>
          </w:p>
        </w:tc>
        <w:tc>
          <w:tcPr>
            <w:tcW w:w="3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estimated earnings on uncompleted contracts</w:t>
            </w:r>
          </w:p>
        </w:tc>
        <w:tc>
          <w:tcPr>
            <w:tcW w:w="84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Contract liabilities - Conditional retentions</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(44,270)</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44,270</w:t>
            </w:r>
          </w:p>
        </w:tc>
        <w:tc>
          <w:tcPr>
            <w:tcW w:w="5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2F</w:t>
            </w: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Contract liabilities</w:t>
            </w:r>
          </w:p>
        </w:tc>
        <w:tc>
          <w:tcPr>
            <w:tcW w:w="3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79,743</w:t>
            </w:r>
          </w:p>
        </w:tc>
        <w:tc>
          <w:tcPr>
            <w:tcW w:w="500" w:type="dxa"/>
            <w:vAlign w:val="bottom"/>
            <w:shd w:val="clear" w:color="auto" w:fill="CCEEFF"/>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2F</w:t>
            </w:r>
          </w:p>
        </w:tc>
        <w:tc>
          <w:tcPr>
            <w:tcW w:w="8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(2,967)</w:t>
            </w:r>
          </w:p>
        </w:tc>
        <w:tc>
          <w:tcPr>
            <w:tcW w:w="640" w:type="dxa"/>
            <w:vAlign w:val="bottom"/>
            <w:shd w:val="clear" w:color="auto" w:fill="CCEEFF"/>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2AA</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76,776</w:t>
            </w:r>
          </w:p>
        </w:tc>
        <w:tc>
          <w:tcPr>
            <w:tcW w:w="0" w:type="dxa"/>
            <w:vAlign w:val="bottom"/>
          </w:tcPr>
          <w:p>
            <w:pPr>
              <w:spacing w:after="0"/>
              <w:rPr>
                <w:sz w:val="1"/>
                <w:szCs w:val="1"/>
                <w:color w:val="auto"/>
              </w:rPr>
            </w:pPr>
          </w:p>
        </w:tc>
      </w:tr>
      <w:tr>
        <w:trPr>
          <w:trHeight w:val="149"/>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Current maturities of operating leases liability</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3,701</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12"/>
                <w:szCs w:val="12"/>
                <w:color w:val="auto"/>
              </w:rPr>
            </w:pP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1,130</w:t>
            </w: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(1,130)</w:t>
            </w:r>
          </w:p>
        </w:tc>
        <w:tc>
          <w:tcPr>
            <w:tcW w:w="50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2E</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5"/>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178,113</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4,462</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182,575</w:t>
            </w:r>
          </w:p>
        </w:tc>
        <w:tc>
          <w:tcPr>
            <w:tcW w:w="0" w:type="dxa"/>
            <w:vAlign w:val="bottom"/>
          </w:tcPr>
          <w:p>
            <w:pPr>
              <w:spacing w:after="0"/>
              <w:rPr>
                <w:sz w:val="1"/>
                <w:szCs w:val="1"/>
                <w:color w:val="auto"/>
              </w:rPr>
            </w:pPr>
          </w:p>
        </w:tc>
      </w:tr>
      <w:tr>
        <w:trPr>
          <w:trHeight w:val="156"/>
        </w:trPr>
        <w:tc>
          <w:tcPr>
            <w:tcW w:w="30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Long-term debt, net of current portion</w:t>
            </w:r>
          </w:p>
        </w:tc>
        <w:tc>
          <w:tcPr>
            <w:tcW w:w="338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leases liability, less current maturities</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13,923</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13,923</w:t>
            </w:r>
          </w:p>
        </w:tc>
        <w:tc>
          <w:tcPr>
            <w:tcW w:w="0" w:type="dxa"/>
            <w:vAlign w:val="bottom"/>
          </w:tcPr>
          <w:p>
            <w:pPr>
              <w:spacing w:after="0"/>
              <w:rPr>
                <w:sz w:val="1"/>
                <w:szCs w:val="1"/>
                <w:color w:val="auto"/>
              </w:rPr>
            </w:pPr>
          </w:p>
        </w:tc>
      </w:tr>
      <w:tr>
        <w:trPr>
          <w:trHeight w:val="163"/>
        </w:trPr>
        <w:tc>
          <w:tcPr>
            <w:tcW w:w="3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33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192,036</w:t>
            </w:r>
          </w:p>
        </w:tc>
        <w:tc>
          <w:tcPr>
            <w:tcW w:w="2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4,462</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196,498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33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Voting- 9,100 shares issued and outstanding</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spacing w:after="0"/>
              <w:rPr>
                <w:sz w:val="12"/>
                <w:szCs w:val="12"/>
                <w:color w:val="auto"/>
              </w:rPr>
            </w:pPr>
          </w:p>
        </w:tc>
        <w:tc>
          <w:tcPr>
            <w:tcW w:w="33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Nonvoting- 32,112 shares issued and outstanding</w:t>
            </w: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8"/>
        </w:trPr>
        <w:tc>
          <w:tcPr>
            <w:tcW w:w="3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3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4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3,376</w:t>
            </w:r>
          </w:p>
        </w:tc>
        <w:tc>
          <w:tcPr>
            <w:tcW w:w="0" w:type="dxa"/>
            <w:vAlign w:val="bottom"/>
          </w:tcPr>
          <w:p>
            <w:pPr>
              <w:spacing w:after="0"/>
              <w:rPr>
                <w:sz w:val="1"/>
                <w:szCs w:val="1"/>
                <w:color w:val="auto"/>
              </w:rPr>
            </w:pPr>
          </w:p>
        </w:tc>
      </w:tr>
      <w:tr>
        <w:trPr>
          <w:trHeight w:val="124"/>
        </w:trPr>
        <w:tc>
          <w:tcPr>
            <w:tcW w:w="30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Accumulated deficit</w:t>
            </w:r>
          </w:p>
        </w:tc>
        <w:tc>
          <w:tcPr>
            <w:tcW w:w="33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Retained earnings</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89,817</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11,891</w:t>
            </w:r>
          </w:p>
        </w:tc>
        <w:tc>
          <w:tcPr>
            <w:tcW w:w="640" w:type="dxa"/>
            <w:vAlign w:val="bottom"/>
            <w:shd w:val="clear" w:color="auto" w:fill="CCEEFF"/>
          </w:tcPr>
          <w:p>
            <w:pPr>
              <w:jc w:val="center"/>
              <w:ind w:right="49"/>
              <w:spacing w:after="0" w:line="124" w:lineRule="exact"/>
              <w:rPr>
                <w:sz w:val="20"/>
                <w:szCs w:val="20"/>
                <w:color w:val="auto"/>
              </w:rPr>
            </w:pPr>
            <w:r>
              <w:rPr>
                <w:rFonts w:ascii="Times New Roman" w:cs="Times New Roman" w:eastAsia="Times New Roman" w:hAnsi="Times New Roman"/>
                <w:sz w:val="14"/>
                <w:szCs w:val="14"/>
                <w:b w:val="1"/>
                <w:bCs w:val="1"/>
                <w:color w:val="auto"/>
              </w:rPr>
              <w:t>2AA,</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101,708</w:t>
            </w:r>
          </w:p>
        </w:tc>
        <w:tc>
          <w:tcPr>
            <w:tcW w:w="0" w:type="dxa"/>
            <w:vAlign w:val="bottom"/>
          </w:tcPr>
          <w:p>
            <w:pPr>
              <w:spacing w:after="0"/>
              <w:rPr>
                <w:sz w:val="1"/>
                <w:szCs w:val="1"/>
                <w:color w:val="auto"/>
              </w:rPr>
            </w:pPr>
          </w:p>
        </w:tc>
      </w:tr>
      <w:tr>
        <w:trPr>
          <w:trHeight w:val="173"/>
        </w:trPr>
        <w:tc>
          <w:tcPr>
            <w:tcW w:w="3020" w:type="dxa"/>
            <w:vAlign w:val="bottom"/>
            <w:shd w:val="clear" w:color="auto" w:fill="CCEEFF"/>
          </w:tcPr>
          <w:p>
            <w:pPr>
              <w:spacing w:after="0"/>
              <w:rPr>
                <w:sz w:val="15"/>
                <w:szCs w:val="15"/>
                <w:color w:val="auto"/>
              </w:rPr>
            </w:pPr>
          </w:p>
        </w:tc>
        <w:tc>
          <w:tcPr>
            <w:tcW w:w="338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2CC</w:t>
            </w:r>
          </w:p>
        </w:tc>
        <w:tc>
          <w:tcPr>
            <w:tcW w:w="7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3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93,234</w:t>
            </w:r>
          </w:p>
        </w:tc>
        <w:tc>
          <w:tcPr>
            <w:tcW w:w="2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11,891</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105,125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3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285,270</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16,353</w:t>
            </w:r>
          </w:p>
        </w:tc>
        <w:tc>
          <w:tcPr>
            <w:tcW w:w="6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301,623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of Operations for the Period Ended 9/30/25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2"/>
              </w:rPr>
              <w:t>The</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The</w:t>
            </w:r>
          </w:p>
        </w:tc>
      </w:tr>
      <w:tr>
        <w:trPr>
          <w:trHeight w:val="135"/>
        </w:trPr>
        <w:tc>
          <w:tcPr>
            <w:tcW w:w="25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Bowers</w:t>
            </w:r>
          </w:p>
        </w:tc>
        <w:tc>
          <w:tcPr>
            <w:tcW w:w="10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Reclassifications</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Bowers Group,</w:t>
            </w:r>
          </w:p>
        </w:tc>
      </w:tr>
      <w:tr>
        <w:trPr>
          <w:trHeight w:val="135"/>
        </w:trPr>
        <w:tc>
          <w:tcPr>
            <w:tcW w:w="25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Group,</w:t>
            </w:r>
          </w:p>
        </w:tc>
        <w:tc>
          <w:tcPr>
            <w:tcW w:w="10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Conform to</w:t>
            </w:r>
          </w:p>
        </w:tc>
        <w:tc>
          <w:tcPr>
            <w:tcW w:w="68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10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w:t>
            </w:r>
          </w:p>
        </w:tc>
      </w:tr>
      <w:tr>
        <w:trPr>
          <w:trHeight w:val="135"/>
        </w:trPr>
        <w:tc>
          <w:tcPr>
            <w:tcW w:w="250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90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10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Legence’s</w:t>
            </w:r>
          </w:p>
        </w:tc>
        <w:tc>
          <w:tcPr>
            <w:tcW w:w="68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Policy</w:t>
            </w:r>
          </w:p>
        </w:tc>
        <w:tc>
          <w:tcPr>
            <w:tcW w:w="100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w:t>
            </w:r>
          </w:p>
        </w:tc>
      </w:tr>
      <w:tr>
        <w:trPr>
          <w:trHeight w:val="155"/>
        </w:trPr>
        <w:tc>
          <w:tcPr>
            <w:tcW w:w="2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Legence Presentation</w:t>
            </w:r>
          </w:p>
        </w:tc>
        <w:tc>
          <w:tcPr>
            <w:tcW w:w="312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Bowers Presentation</w:t>
            </w: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Presentation</w:t>
            </w: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3"/>
              </w:rPr>
              <w:t>Adjustments</w:t>
            </w: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Adjusted</w:t>
            </w:r>
          </w:p>
        </w:tc>
      </w:tr>
      <w:tr>
        <w:trPr>
          <w:trHeight w:val="149"/>
        </w:trPr>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31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Earned revenue</w:t>
            </w: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635,573</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4,947</w:t>
            </w:r>
          </w:p>
        </w:tc>
        <w:tc>
          <w:tcPr>
            <w:tcW w:w="1000" w:type="dxa"/>
            <w:vAlign w:val="bottom"/>
            <w:shd w:val="clear" w:color="auto" w:fill="CCEEFF"/>
          </w:tcPr>
          <w:p>
            <w:pPr>
              <w:jc w:val="right"/>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2BB, 2DD</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640,520</w:t>
            </w:r>
          </w:p>
        </w:tc>
      </w:tr>
      <w:tr>
        <w:trPr>
          <w:trHeight w:val="148"/>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31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Cost of earned revenue</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518,314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2,043</w:t>
            </w:r>
          </w:p>
        </w:tc>
        <w:tc>
          <w:tcPr>
            <w:tcW w:w="1000" w:type="dxa"/>
            <w:vAlign w:val="bottom"/>
          </w:tcPr>
          <w:p>
            <w:pPr>
              <w:jc w:val="right"/>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2DD</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520,357</w:t>
            </w:r>
          </w:p>
        </w:tc>
      </w:tr>
      <w:tr>
        <w:trPr>
          <w:trHeight w:val="27"/>
        </w:trPr>
        <w:tc>
          <w:tcPr>
            <w:tcW w:w="25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31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9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117,259</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2,904</w:t>
            </w:r>
          </w:p>
        </w:tc>
        <w:tc>
          <w:tcPr>
            <w:tcW w:w="10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120,163</w:t>
            </w:r>
          </w:p>
        </w:tc>
      </w:tr>
      <w:tr>
        <w:trPr>
          <w:trHeight w:val="149"/>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31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56,084</w:t>
            </w:r>
          </w:p>
        </w:tc>
        <w:tc>
          <w:tcPr>
            <w:tcW w:w="2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680" w:type="dxa"/>
            <w:vAlign w:val="bottom"/>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2G</w:t>
            </w:r>
          </w:p>
        </w:tc>
        <w:tc>
          <w:tcPr>
            <w:tcW w:w="8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000" w:type="dxa"/>
            <w:vAlign w:val="bottom"/>
          </w:tcPr>
          <w:p>
            <w:pPr>
              <w:jc w:val="right"/>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2DD</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54,808</w:t>
            </w:r>
          </w:p>
        </w:tc>
      </w:tr>
      <w:tr>
        <w:trPr>
          <w:trHeight w:val="148"/>
        </w:trPr>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1,311</w:t>
            </w:r>
          </w:p>
        </w:tc>
        <w:tc>
          <w:tcPr>
            <w:tcW w:w="680" w:type="dxa"/>
            <w:vAlign w:val="bottom"/>
            <w:shd w:val="clear" w:color="auto" w:fill="CCEEFF"/>
          </w:tcPr>
          <w:p>
            <w:pPr>
              <w:jc w:val="right"/>
              <w:ind w:right="171"/>
              <w:spacing w:after="0" w:line="149" w:lineRule="exact"/>
              <w:rPr>
                <w:sz w:val="20"/>
                <w:szCs w:val="20"/>
                <w:color w:val="auto"/>
              </w:rPr>
            </w:pPr>
            <w:r>
              <w:rPr>
                <w:rFonts w:ascii="Times New Roman" w:cs="Times New Roman" w:eastAsia="Times New Roman" w:hAnsi="Times New Roman"/>
                <w:sz w:val="14"/>
                <w:szCs w:val="14"/>
                <w:b w:val="1"/>
                <w:bCs w:val="1"/>
                <w:color w:val="auto"/>
              </w:rPr>
              <w:t>2G</w:t>
            </w: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1,311</w:t>
            </w:r>
          </w:p>
        </w:tc>
      </w:tr>
      <w:tr>
        <w:trPr>
          <w:trHeight w:val="155"/>
        </w:trPr>
        <w:tc>
          <w:tcPr>
            <w:tcW w:w="2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12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61,175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Borders>
              <w:top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w w:val="95"/>
              </w:rPr>
              <w:t>— </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2,869</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64,044</w:t>
            </w:r>
          </w:p>
        </w:tc>
        <w:tc>
          <w:tcPr>
            <w:tcW w:w="100" w:type="dxa"/>
            <w:vAlign w:val="bottom"/>
          </w:tcPr>
          <w:p>
            <w:pPr>
              <w:spacing w:after="0"/>
              <w:rPr>
                <w:sz w:val="13"/>
                <w:szCs w:val="13"/>
                <w:color w:val="auto"/>
              </w:rPr>
            </w:pPr>
          </w:p>
        </w:tc>
      </w:tr>
      <w:tr>
        <w:trPr>
          <w:trHeight w:val="148"/>
        </w:trPr>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expense (income):</w:t>
            </w:r>
          </w:p>
        </w:tc>
        <w:tc>
          <w:tcPr>
            <w:tcW w:w="31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12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9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(1,893)</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(1,893)</w:t>
            </w:r>
          </w:p>
        </w:tc>
      </w:tr>
      <w:tr>
        <w:trPr>
          <w:trHeight w:val="148"/>
        </w:trPr>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31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90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r>
      <w:tr>
        <w:trPr>
          <w:trHeight w:val="155"/>
        </w:trPr>
        <w:tc>
          <w:tcPr>
            <w:tcW w:w="2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312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Income before taxes</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63,097</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2,869</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65,966</w:t>
            </w:r>
          </w:p>
        </w:tc>
        <w:tc>
          <w:tcPr>
            <w:tcW w:w="100" w:type="dxa"/>
            <w:vAlign w:val="bottom"/>
          </w:tcPr>
          <w:p>
            <w:pPr>
              <w:spacing w:after="0"/>
              <w:rPr>
                <w:sz w:val="13"/>
                <w:szCs w:val="13"/>
                <w:color w:val="auto"/>
              </w:rPr>
            </w:pPr>
          </w:p>
        </w:tc>
      </w:tr>
      <w:tr>
        <w:trPr>
          <w:trHeight w:val="149"/>
        </w:trPr>
        <w:tc>
          <w:tcPr>
            <w:tcW w:w="25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312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3,950</w:t>
            </w:r>
          </w:p>
        </w:tc>
      </w:tr>
      <w:tr>
        <w:trPr>
          <w:trHeight w:val="155"/>
        </w:trPr>
        <w:tc>
          <w:tcPr>
            <w:tcW w:w="25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312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59,147</w:t>
            </w:r>
          </w:p>
        </w:tc>
        <w:tc>
          <w:tcPr>
            <w:tcW w:w="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2,869</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62,016</w:t>
            </w:r>
          </w:p>
        </w:tc>
        <w:tc>
          <w:tcPr>
            <w:tcW w:w="100" w:type="dxa"/>
            <w:vAlign w:val="bottom"/>
          </w:tcPr>
          <w:p>
            <w:pPr>
              <w:spacing w:after="0"/>
              <w:rPr>
                <w:sz w:val="13"/>
                <w:szCs w:val="13"/>
                <w:color w:val="auto"/>
              </w:rPr>
            </w:pPr>
          </w:p>
        </w:tc>
      </w:tr>
      <w:tr>
        <w:trPr>
          <w:trHeight w:val="20"/>
        </w:trPr>
        <w:tc>
          <w:tcPr>
            <w:tcW w:w="2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Operations for the Period Ended 9/30/24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The</w:t>
            </w:r>
          </w:p>
        </w:tc>
      </w:tr>
      <w:tr>
        <w:trPr>
          <w:trHeight w:val="135"/>
        </w:trPr>
        <w:tc>
          <w:tcPr>
            <w:tcW w:w="2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The</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Bowers</w:t>
            </w:r>
          </w:p>
        </w:tc>
      </w:tr>
      <w:tr>
        <w:trPr>
          <w:trHeight w:val="135"/>
        </w:trPr>
        <w:tc>
          <w:tcPr>
            <w:tcW w:w="2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Bowers</w:t>
            </w:r>
          </w:p>
        </w:tc>
        <w:tc>
          <w:tcPr>
            <w:tcW w:w="10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Reclassifications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Group,</w:t>
            </w:r>
          </w:p>
        </w:tc>
      </w:tr>
      <w:tr>
        <w:trPr>
          <w:trHeight w:val="135"/>
        </w:trPr>
        <w:tc>
          <w:tcPr>
            <w:tcW w:w="2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Group,</w:t>
            </w:r>
          </w:p>
        </w:tc>
        <w:tc>
          <w:tcPr>
            <w:tcW w:w="10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Conform to</w:t>
            </w:r>
          </w:p>
        </w:tc>
        <w:tc>
          <w:tcPr>
            <w:tcW w:w="640" w:type="dxa"/>
            <w:vAlign w:val="bottom"/>
          </w:tcPr>
          <w:p>
            <w:pPr>
              <w:spacing w:after="0"/>
              <w:rPr>
                <w:sz w:val="11"/>
                <w:szCs w:val="11"/>
                <w:color w:val="auto"/>
              </w:rPr>
            </w:pP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Accounting</w:t>
            </w:r>
          </w:p>
        </w:tc>
        <w:tc>
          <w:tcPr>
            <w:tcW w:w="9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Inc.</w:t>
            </w:r>
          </w:p>
        </w:tc>
      </w:tr>
      <w:tr>
        <w:trPr>
          <w:trHeight w:val="135"/>
        </w:trPr>
        <w:tc>
          <w:tcPr>
            <w:tcW w:w="25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w:t>
            </w:r>
          </w:p>
        </w:tc>
        <w:tc>
          <w:tcPr>
            <w:tcW w:w="10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Legence’s</w:t>
            </w:r>
          </w:p>
        </w:tc>
        <w:tc>
          <w:tcPr>
            <w:tcW w:w="640" w:type="dxa"/>
            <w:vAlign w:val="bottom"/>
          </w:tcPr>
          <w:p>
            <w:pPr>
              <w:spacing w:after="0"/>
              <w:rPr>
                <w:sz w:val="11"/>
                <w:szCs w:val="11"/>
                <w:color w:val="auto"/>
              </w:rPr>
            </w:pPr>
          </w:p>
        </w:tc>
        <w:tc>
          <w:tcPr>
            <w:tcW w:w="88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Policy</w:t>
            </w:r>
          </w:p>
        </w:tc>
        <w:tc>
          <w:tcPr>
            <w:tcW w:w="9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w:t>
            </w:r>
          </w:p>
        </w:tc>
      </w:tr>
      <w:tr>
        <w:trPr>
          <w:trHeight w:val="155"/>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Legence Presentation</w:t>
            </w:r>
          </w:p>
        </w:tc>
        <w:tc>
          <w:tcPr>
            <w:tcW w:w="33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Bowers Presentation</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(Historical)</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Presentation</w:t>
            </w: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 Adjusted</w:t>
            </w:r>
          </w:p>
        </w:tc>
      </w:tr>
      <w:tr>
        <w:trPr>
          <w:trHeight w:val="148"/>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Earned revenue</w:t>
            </w: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554,792</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(585)</w:t>
            </w:r>
          </w:p>
        </w:tc>
        <w:tc>
          <w:tcPr>
            <w:tcW w:w="980" w:type="dxa"/>
            <w:vAlign w:val="bottom"/>
            <w:shd w:val="clear" w:color="auto" w:fill="CCEEFF"/>
          </w:tcPr>
          <w:p>
            <w:pPr>
              <w:jc w:val="right"/>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2BB, 2DD</w:t>
            </w: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554,207</w:t>
            </w:r>
          </w:p>
        </w:tc>
      </w:tr>
      <w:tr>
        <w:trPr>
          <w:trHeight w:val="149"/>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3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Cost of earned revenue</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449,203</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980" w:type="dxa"/>
            <w:vAlign w:val="bottom"/>
          </w:tcPr>
          <w:p>
            <w:pPr>
              <w:jc w:val="right"/>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2DD</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448,844</w:t>
            </w:r>
          </w:p>
        </w:tc>
      </w:tr>
      <w:tr>
        <w:trPr>
          <w:trHeight w:val="27"/>
        </w:trPr>
        <w:tc>
          <w:tcPr>
            <w:tcW w:w="2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105,589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(226)</w:t>
            </w:r>
          </w:p>
        </w:tc>
        <w:tc>
          <w:tcPr>
            <w:tcW w:w="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105,363</w:t>
            </w:r>
          </w:p>
        </w:tc>
      </w:tr>
      <w:tr>
        <w:trPr>
          <w:trHeight w:val="148"/>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3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57,529</w:t>
            </w: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640" w:type="dxa"/>
            <w:vAlign w:val="bottom"/>
          </w:tcPr>
          <w:p>
            <w:pPr>
              <w:jc w:val="right"/>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2G</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980" w:type="dxa"/>
            <w:vAlign w:val="bottom"/>
          </w:tcPr>
          <w:p>
            <w:pPr>
              <w:jc w:val="right"/>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2DD</w:t>
            </w: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55,983</w:t>
            </w:r>
          </w:p>
        </w:tc>
      </w:tr>
      <w:tr>
        <w:trPr>
          <w:trHeight w:val="149"/>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1,550</w:t>
            </w:r>
          </w:p>
        </w:tc>
        <w:tc>
          <w:tcPr>
            <w:tcW w:w="640" w:type="dxa"/>
            <w:vAlign w:val="bottom"/>
            <w:shd w:val="clear" w:color="auto" w:fill="CCEEFF"/>
          </w:tcPr>
          <w:p>
            <w:pPr>
              <w:jc w:val="right"/>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2G</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1,550</w:t>
            </w:r>
          </w:p>
        </w:tc>
      </w:tr>
      <w:tr>
        <w:trPr>
          <w:trHeight w:val="155"/>
        </w:trPr>
        <w:tc>
          <w:tcPr>
            <w:tcW w:w="25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Income from operations</w:t>
            </w:r>
          </w:p>
        </w:tc>
        <w:tc>
          <w:tcPr>
            <w:tcW w:w="3340" w:type="dxa"/>
            <w:vAlign w:val="bottom"/>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48,060</w:t>
            </w:r>
          </w:p>
        </w:tc>
        <w:tc>
          <w:tcPr>
            <w:tcW w:w="26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(230)</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47,830</w:t>
            </w:r>
          </w:p>
        </w:tc>
        <w:tc>
          <w:tcPr>
            <w:tcW w:w="100" w:type="dxa"/>
            <w:vAlign w:val="bottom"/>
          </w:tcPr>
          <w:p>
            <w:pPr>
              <w:spacing w:after="0"/>
              <w:rPr>
                <w:sz w:val="13"/>
                <w:szCs w:val="13"/>
                <w:color w:val="auto"/>
              </w:rPr>
            </w:pPr>
          </w:p>
        </w:tc>
      </w:tr>
      <w:tr>
        <w:trPr>
          <w:trHeight w:val="148"/>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expense (income):</w:t>
            </w: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(2,698)</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(2,698)</w:t>
            </w:r>
          </w:p>
        </w:tc>
      </w:tr>
      <w:tr>
        <w:trPr>
          <w:trHeight w:val="148"/>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216</w:t>
            </w:r>
          </w:p>
        </w:tc>
      </w:tr>
      <w:tr>
        <w:trPr>
          <w:trHeight w:val="149"/>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3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w:t>
            </w:r>
          </w:p>
        </w:tc>
      </w:tr>
      <w:tr>
        <w:trPr>
          <w:trHeight w:val="27"/>
        </w:trPr>
        <w:tc>
          <w:tcPr>
            <w:tcW w:w="25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(loss) before income tax</w:t>
            </w: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 taxes</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50,590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(230)</w:t>
            </w:r>
          </w:p>
        </w:tc>
        <w:tc>
          <w:tcPr>
            <w:tcW w:w="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50,360</w:t>
            </w:r>
          </w:p>
        </w:tc>
      </w:tr>
      <w:tr>
        <w:trPr>
          <w:trHeight w:val="148"/>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3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2,216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2,216</w:t>
            </w:r>
          </w:p>
        </w:tc>
      </w:tr>
      <w:tr>
        <w:trPr>
          <w:trHeight w:val="149"/>
        </w:trPr>
        <w:tc>
          <w:tcPr>
            <w:tcW w:w="2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3340" w:type="dxa"/>
            <w:vAlign w:val="bottom"/>
            <w:shd w:val="clear" w:color="auto" w:fill="CCEEFF"/>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8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48,374</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(230)</w:t>
            </w:r>
          </w:p>
        </w:tc>
        <w:tc>
          <w:tcPr>
            <w:tcW w:w="9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48,144</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Reclassification Adjustments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reclassifications were made to conform The Bowers Group, Inc., to Legence Corp.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2A. </w:t>
      </w:r>
      <w:r>
        <w:rPr>
          <w:rFonts w:ascii="Times New Roman" w:cs="Times New Roman" w:eastAsia="Times New Roman" w:hAnsi="Times New Roman"/>
          <w:sz w:val="18"/>
          <w:szCs w:val="18"/>
          <w:color w:val="auto"/>
        </w:rPr>
        <w:t>Reclassification to “Accounts receivable, net” from “Contract receivables”</w:t>
      </w:r>
    </w:p>
    <w:p>
      <w:pPr>
        <w:spacing w:after="0" w:line="225"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2B. </w:t>
      </w:r>
      <w:r>
        <w:rPr>
          <w:rFonts w:ascii="Times New Roman" w:cs="Times New Roman" w:eastAsia="Times New Roman" w:hAnsi="Times New Roman"/>
          <w:sz w:val="18"/>
          <w:szCs w:val="18"/>
          <w:color w:val="auto"/>
        </w:rPr>
        <w:t>Reclassification to “Contract assets, net” from “Contract assets - costs and estimated earnings in excess of billing on uncompleted contracts”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assets - Conditional retention”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2C. </w:t>
      </w:r>
      <w:r>
        <w:rPr>
          <w:rFonts w:ascii="Times New Roman" w:cs="Times New Roman" w:eastAsia="Times New Roman" w:hAnsi="Times New Roman"/>
          <w:sz w:val="18"/>
          <w:szCs w:val="18"/>
          <w:color w:val="auto"/>
        </w:rPr>
        <w:t>Reclassification to “Prepaid expenses and other current assets” from “Inventories, at lower of cost (weighted average) or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2D. </w:t>
      </w:r>
      <w:r>
        <w:rPr>
          <w:rFonts w:ascii="Times New Roman" w:cs="Times New Roman" w:eastAsia="Times New Roman" w:hAnsi="Times New Roman"/>
          <w:sz w:val="18"/>
          <w:szCs w:val="18"/>
          <w:color w:val="auto"/>
        </w:rPr>
        <w:t>Reclassification to “Other assets” from “Equipment deposits”, “Tax deposit”, “Deposits” and, “Cash surrender value of officers´ life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2E. </w:t>
      </w:r>
      <w:r>
        <w:rPr>
          <w:rFonts w:ascii="Times New Roman" w:cs="Times New Roman" w:eastAsia="Times New Roman" w:hAnsi="Times New Roman"/>
          <w:sz w:val="18"/>
          <w:szCs w:val="18"/>
          <w:color w:val="auto"/>
        </w:rPr>
        <w:t>Reclassification to “Accrued and other current liabilities” from “Retentions payable” and “Income tax payable”</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2F. </w:t>
      </w:r>
      <w:r>
        <w:rPr>
          <w:rFonts w:ascii="Times New Roman" w:cs="Times New Roman" w:eastAsia="Times New Roman" w:hAnsi="Times New Roman"/>
          <w:sz w:val="18"/>
          <w:szCs w:val="18"/>
          <w:color w:val="auto"/>
        </w:rPr>
        <w:t>Reclassification to “Contract liabilities” from “Contract liabilities - billing in excess of costs and estimated earnings on uncompleted contracts”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liabilities - Conditional retentions”</w:t>
      </w:r>
    </w:p>
    <w:p>
      <w:pPr>
        <w:spacing w:after="0" w:line="15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2G: </w:t>
      </w:r>
      <w:r>
        <w:rPr>
          <w:rFonts w:ascii="Times New Roman" w:cs="Times New Roman" w:eastAsia="Times New Roman" w:hAnsi="Times New Roman"/>
          <w:sz w:val="18"/>
          <w:szCs w:val="18"/>
          <w:color w:val="auto"/>
        </w:rPr>
        <w:t>Reclassification of depreciation expense from “General and administrative expenses” to “Depreciation and amortization”. This adjustment has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on total operating income.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Policy Adjustments</w:t>
      </w:r>
    </w:p>
    <w:p>
      <w:pPr>
        <w:spacing w:after="0" w:line="117"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2AA: </w:t>
      </w:r>
      <w:r>
        <w:rPr>
          <w:rFonts w:ascii="Times New Roman" w:cs="Times New Roman" w:eastAsia="Times New Roman" w:hAnsi="Times New Roman"/>
          <w:sz w:val="18"/>
          <w:szCs w:val="18"/>
          <w:color w:val="auto"/>
        </w:rPr>
        <w:t>Represents the pro forma adjustment to align Bowers’s contingency release revenue practice with Legence’s revenue recognition policy.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Legence’s policy, contingencies are considered during project performance until the point at which there is not a significant risk of revenue reversal, rather than released at project completion.</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2BB: </w:t>
      </w:r>
      <w:r>
        <w:rPr>
          <w:rFonts w:ascii="Times New Roman" w:cs="Times New Roman" w:eastAsia="Times New Roman" w:hAnsi="Times New Roman"/>
          <w:sz w:val="18"/>
          <w:szCs w:val="18"/>
          <w:color w:val="auto"/>
        </w:rPr>
        <w:t>Represents the pro forma statement of operations impact of the contingency release adjustment described in 2AA. This entry reflects the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revenue and gross margin resulting from applying Legence’s policy to Bowers’s projects.</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2CC: </w:t>
      </w:r>
      <w:r>
        <w:rPr>
          <w:rFonts w:ascii="Times New Roman" w:cs="Times New Roman" w:eastAsia="Times New Roman" w:hAnsi="Times New Roman"/>
          <w:sz w:val="18"/>
          <w:szCs w:val="18"/>
          <w:color w:val="auto"/>
        </w:rPr>
        <w:t>Represents the pro forma recognition of project-related costs with Legence’s accrual methodology. This adjustment records the related liability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payable and increases contract assets for the corresponding percentage-of-completion revenue impact, with the net effect reflected in accumulated deficit.</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66" w:right="539" w:bottom="1440" w:gutter="0" w:footer="0" w:header="0"/>
        </w:sectPr>
      </w:pPr>
    </w:p>
    <w:bookmarkStart w:id="40" w:name="page41"/>
    <w:bookmarkEnd w:id="40"/>
    <w:p>
      <w:pP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2DD: </w:t>
      </w:r>
      <w:r>
        <w:rPr>
          <w:rFonts w:ascii="Times New Roman" w:cs="Times New Roman" w:eastAsia="Times New Roman" w:hAnsi="Times New Roman"/>
          <w:sz w:val="18"/>
          <w:szCs w:val="18"/>
          <w:color w:val="auto"/>
        </w:rPr>
        <w:t>Represents the pro forma statement of operations impact of recognizing project-related costs with Legence’s accrual methodology. The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increases cost of revenue and general and administrative expenses, with a corresponding increase to revenue for the percentage-of-completion effect, and updates accumulated deficit for the net impact.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Interim Statement of Operations for Bowers for the Period January 1, 2025 to September 30, 2025</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table below provides the calculation to derive the unaudited pro forma condensed combined statement of operations for Bowers’s for the nine months ended September 30, 2025. The historical results of Bowers’s for the year ended September 30, 2025, have been adjusted to remove the results attributable to operations for the period October 1, 2024 through December 31, 2024. This adjustment is made to present Bowers’s results for the nine-month period ended September 30, 2025, to align with the interim period presented for Legence as shown below (in thousands):</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October 2024 -</w:t>
            </w:r>
          </w:p>
        </w:tc>
        <w:tc>
          <w:tcPr>
            <w:tcW w:w="260" w:type="dxa"/>
            <w:vAlign w:val="bottom"/>
          </w:tcPr>
          <w:p>
            <w:pPr>
              <w:spacing w:after="0"/>
              <w:rPr>
                <w:sz w:val="13"/>
                <w:szCs w:val="13"/>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January 2025 -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540" w:type="dxa"/>
            <w:vAlign w:val="bottom"/>
            <w:gridSpan w:val="3"/>
          </w:tcPr>
          <w:p>
            <w:pPr>
              <w:jc w:val="center"/>
              <w:ind w:left="833"/>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2025</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5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2024</w:t>
            </w:r>
          </w:p>
        </w:tc>
        <w:tc>
          <w:tcPr>
            <w:tcW w:w="1300" w:type="dxa"/>
            <w:vAlign w:val="bottom"/>
            <w:gridSpan w:val="3"/>
          </w:tcPr>
          <w:p>
            <w:pPr>
              <w:jc w:val="center"/>
              <w:ind w:left="93"/>
              <w:spacing w:after="0" w:line="149" w:lineRule="exact"/>
              <w:rPr>
                <w:sz w:val="20"/>
                <w:szCs w:val="20"/>
                <w:color w:val="auto"/>
              </w:rPr>
            </w:pPr>
            <w:r>
              <w:rPr>
                <w:rFonts w:ascii="Times New Roman" w:cs="Times New Roman" w:eastAsia="Times New Roman" w:hAnsi="Times New Roman"/>
                <w:sz w:val="14"/>
                <w:szCs w:val="14"/>
                <w:b w:val="1"/>
                <w:bCs w:val="1"/>
                <w:color w:val="auto"/>
              </w:rPr>
              <w:t>September 2025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26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Carve Out</w:t>
            </w:r>
          </w:p>
        </w:tc>
        <w:tc>
          <w:tcPr>
            <w:tcW w:w="26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Post Carve Out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(Audited) [A]</w:t>
            </w:r>
          </w:p>
        </w:tc>
        <w:tc>
          <w:tcPr>
            <w:tcW w:w="26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26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Earned revenue</w:t>
            </w:r>
          </w:p>
        </w:tc>
        <w:tc>
          <w:tcPr>
            <w:tcW w:w="1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766,996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131,423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Cost of earned revenue</w:t>
            </w:r>
          </w:p>
        </w:tc>
        <w:tc>
          <w:tcPr>
            <w:tcW w:w="1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625,574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107,260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141,422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70,370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2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72,868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68,618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Corporate Reorganization and Offering Transaction Adjustments</w:t>
      </w:r>
    </w:p>
    <w:p>
      <w:pPr>
        <w:spacing w:after="0" w:line="121" w:lineRule="exact"/>
        <w:rPr>
          <w:sz w:val="20"/>
          <w:szCs w:val="20"/>
          <w:color w:val="auto"/>
        </w:rPr>
      </w:pPr>
    </w:p>
    <w:p>
      <w:pPr>
        <w:jc w:val="both"/>
        <w:ind w:right="560"/>
        <w:spacing w:after="0" w:line="312" w:lineRule="auto"/>
        <w:rPr>
          <w:sz w:val="20"/>
          <w:szCs w:val="20"/>
          <w:color w:val="auto"/>
        </w:rPr>
      </w:pPr>
      <w:r>
        <w:rPr>
          <w:rFonts w:ascii="Times New Roman" w:cs="Times New Roman" w:eastAsia="Times New Roman" w:hAnsi="Times New Roman"/>
          <w:sz w:val="17"/>
          <w:szCs w:val="17"/>
          <w:color w:val="auto"/>
        </w:rPr>
        <w:t>Corporate Reorganization and Offering Transaction accounting adjustments include the following adjustments related to the unaudited pro forma condensed combined statements of operations for the nine months ended September 30, 2025 and the year ended December 31, 2024, as follows:</w:t>
      </w:r>
    </w:p>
    <w:p>
      <w:pPr>
        <w:spacing w:after="0" w:line="2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3E: </w:t>
      </w:r>
      <w:r>
        <w:rPr>
          <w:rFonts w:ascii="Times New Roman" w:cs="Times New Roman" w:eastAsia="Times New Roman" w:hAnsi="Times New Roman"/>
          <w:sz w:val="18"/>
          <w:szCs w:val="18"/>
          <w:color w:val="auto"/>
        </w:rPr>
        <w:t>Following the Corporate Reorganization, Legence is subject to U.S. federal income taxes, in addition to state and local taxes. As a result,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 pro forma condensed combined statements of operations reflects an adjustment to taxes assuming the federal rates currently in effect and the highest statutory rates apportioned to each state and local jurisdiction.</w:t>
      </w:r>
    </w:p>
    <w:p>
      <w:pPr>
        <w:spacing w:after="0" w:line="171"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3F: </w:t>
      </w:r>
      <w:r>
        <w:rPr>
          <w:rFonts w:ascii="Times New Roman" w:cs="Times New Roman" w:eastAsia="Times New Roman" w:hAnsi="Times New Roman"/>
          <w:sz w:val="18"/>
          <w:szCs w:val="18"/>
          <w:color w:val="auto"/>
        </w:rPr>
        <w:t>As described above as part of the Corporate Reorganization, Legence became the managing member of Legence Holdings. As a result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Reorganization and the completion of the IPO, which included the exercise of the underwriter option, the ownership percentage held by Legence and by noncontrolling interests was approximately 56% and 44%, respectively. Net income attributable to NCI represents 44% of net income before income taxes.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41" w:name="page42"/>
    <w:bookmarkEnd w:id="41"/>
    <w:p>
      <w:pPr>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3G: </w:t>
      </w:r>
      <w:r>
        <w:rPr>
          <w:rFonts w:ascii="Times New Roman" w:cs="Times New Roman" w:eastAsia="Times New Roman" w:hAnsi="Times New Roman"/>
          <w:sz w:val="18"/>
          <w:szCs w:val="18"/>
          <w:color w:val="auto"/>
        </w:rPr>
        <w:t>Reflects (i) the reduction in interest expense as a result of the repayment of a portion of the outstanding indebtedness under the term loan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primarily from use of IPO proceeds, as if such repayment occurred on January 1, 2024, (ii) a reduction in contractual interest expense reflecting a 25 basis-point decrease in interest rates upon the consummation of the IPO pursuant to the terms of the term loan credit facility, (iii) a reduction in interest expense to reflect the interest rate adjustment pursuant to the leverage ratio pricing grid under the Company’s term loan credit facility, and (iv) a reduction in amortization expense associated with the historical amortization of debt issuance costs. The adjustment to interest expense is presented as follows (in thousands):</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120" w:type="dxa"/>
            <w:vAlign w:val="bottom"/>
          </w:tcPr>
          <w:p>
            <w:pPr>
              <w:spacing w:after="0"/>
              <w:rPr>
                <w:sz w:val="15"/>
                <w:szCs w:val="15"/>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outstanding indebtedness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45,030</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decrease upon consummation of an IPO</w:t>
            </w: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1,441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decrease related to leverage ratio pricing grid</w:t>
            </w:r>
          </w:p>
        </w:tc>
        <w:tc>
          <w:tcPr>
            <w:tcW w:w="20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2,678</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1,208</w:t>
            </w: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Reduction of amortization expense related to write-off of</w:t>
            </w: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78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40" w:type="dxa"/>
            <w:vAlign w:val="bottom"/>
          </w:tcPr>
          <w:p>
            <w:pPr>
              <w:spacing w:after="0"/>
              <w:rPr>
                <w:sz w:val="20"/>
                <w:szCs w:val="20"/>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decrease to interest expense</w:t>
            </w:r>
          </w:p>
        </w:tc>
        <w:tc>
          <w:tcPr>
            <w:tcW w:w="204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50,710</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74,945</w:t>
            </w:r>
          </w:p>
        </w:tc>
      </w:tr>
      <w:tr>
        <w:trPr>
          <w:trHeight w:val="20"/>
        </w:trPr>
        <w:tc>
          <w:tcPr>
            <w:tcW w:w="5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3H: </w:t>
      </w:r>
      <w:r>
        <w:rPr>
          <w:rFonts w:ascii="Times New Roman" w:cs="Times New Roman" w:eastAsia="Times New Roman" w:hAnsi="Times New Roman"/>
          <w:sz w:val="18"/>
          <w:szCs w:val="18"/>
          <w:color w:val="auto"/>
        </w:rPr>
        <w:t>Reflects stock compensation expense related to restricted stock units and stock option grants. In connection with the IPO, Legence granted 620,390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and 668,570 stock options under the 2025 Omnibus Incentive Plan to certain employees and non-employee directors, including our named executive officers. Each stock option granted will have an exercise price of $28.00. Each IPO Grant to employees will vest in three equal installments on each of the first, second and third anniversaries of the applicable vesting commencement date, subject generally to continued employment through the applicable vesting date. Each IPO Grant to our non-employee directors will consist of restricted stock units and will fully vest on the sooner of the first anniversary of the applicable vesting commencement date or the day immediately preceding the Company’s 2026 annual stockholder meeting, subject generally to continued service through the applicable vesting date. The grant date fair value of the stock options was determined using the Black Scholes valuation model using the following assumptions:</w:t>
      </w:r>
    </w:p>
    <w:p>
      <w:pPr>
        <w:spacing w:after="0" w:line="234"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17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3I: </w:t>
      </w:r>
      <w:r>
        <w:rPr>
          <w:rFonts w:ascii="Times New Roman" w:cs="Times New Roman" w:eastAsia="Times New Roman" w:hAnsi="Times New Roman"/>
          <w:sz w:val="18"/>
          <w:szCs w:val="18"/>
          <w:color w:val="auto"/>
        </w:rPr>
        <w:t>The Company prepaid $780.3 million of its term loan debt on September 15, 2025, using IPO proceeds and cash on hand. The adjustment reverses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impact of the loss on debt extinguishment related to previously deferred discounts and debt issuance costs for the period ended September 30, 2025, and reflects the related impact of $12.4 million for the year ended December 31, 2024, calculated as if the indebtedness had been repaid on January 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 and Related Financing Adjustments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Acquisition will be accounted for under the acquisition method of accounting in accordance with ASC 805, and other applicable U.S. GAAP, which requires, among other things, that the assets acquired, and liabilities assumed be recognized at their acquisition date fair values, with any excess of the consideration transferred over the estimated fair values of the identifiable net assets acquired recorded as goodwill.</w:t>
      </w:r>
    </w:p>
    <w:p>
      <w:pPr>
        <w:spacing w:after="0" w:line="280" w:lineRule="exact"/>
        <w:rPr>
          <w:sz w:val="20"/>
          <w:szCs w:val="20"/>
          <w:color w:val="auto"/>
        </w:rPr>
      </w:pPr>
    </w:p>
    <w:p>
      <w:pPr>
        <w:ind w:right="5180"/>
        <w:spacing w:after="0" w:line="378" w:lineRule="auto"/>
        <w:rPr>
          <w:sz w:val="20"/>
          <w:szCs w:val="20"/>
          <w:color w:val="auto"/>
        </w:rPr>
      </w:pPr>
      <w:r>
        <w:rPr>
          <w:rFonts w:ascii="Times New Roman" w:cs="Times New Roman" w:eastAsia="Times New Roman" w:hAnsi="Times New Roman"/>
          <w:sz w:val="18"/>
          <w:szCs w:val="18"/>
          <w:b w:val="1"/>
          <w:bCs w:val="1"/>
          <w:color w:val="auto"/>
        </w:rPr>
        <w:t>Adjustments to Unaudited Pro Forma Condensed Combined Balance Sheet 4A. Bowers Stockholders’ Equity</w:t>
      </w:r>
    </w:p>
    <w:p>
      <w:pPr>
        <w:ind w:right="200"/>
        <w:spacing w:after="0" w:line="282" w:lineRule="auto"/>
        <w:rPr>
          <w:sz w:val="20"/>
          <w:szCs w:val="20"/>
          <w:color w:val="auto"/>
        </w:rPr>
      </w:pPr>
      <w:r>
        <w:rPr>
          <w:rFonts w:ascii="Times New Roman" w:cs="Times New Roman" w:eastAsia="Times New Roman" w:hAnsi="Times New Roman"/>
          <w:sz w:val="18"/>
          <w:szCs w:val="18"/>
          <w:color w:val="auto"/>
        </w:rPr>
        <w:t>To adjust Bowers’s historical financial statements to give pro forma effect to events in connection with the Acquisition that include the elimination of Bowers’s historical equity.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66"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4B. Consideration Transferred</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total preliminary estimated consideration transferred is approximately $435.0 million, determined as of January 2, 2026. This amount includes cash consideration of $291.4 million; 2,551,672 shares of Legence Class A Common Stock, with a fair value of $98.6 million based on Legence’s stock price at the Acquisition closing date discounted for lack of marketability; and preliminary fair value of deferred consideration of $44.9 million, payable on December 31, 2026, in cash, Legence Class A Common Stock, or a combination thereof, at Legence’s discretion.</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preliminary allocation of the estimated purchase consideration to the identifiable tangible and intangible assets acquired and liabilities assumed of Bowers based on Bowers’s September 30, 2025 balance sheet, with the excess recorded as goodwill (in thousands).</w:t>
      </w:r>
    </w:p>
    <w:p>
      <w:pPr>
        <w:spacing w:after="0" w:line="207"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receivables, net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net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612,772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 (a)</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397,328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Estimated purchase consideration (b)</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goodwill (b) - (a)</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preliminary purchase accounting adjustments are based on management’s preliminary estimates and assumptions, including limited valuation procedures and available information as of the date of preparation of the Pro Forma Financial Information, to allocate the consideration transferred to the identifiable assets acquired and liabilities assumed, including intangible assets, and real and personal property. The final allocation of the consideration</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66" w:right="49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transferred will be completed after the Company finalizes its detailed valuations during the measurement period, which will not exceed one year from the acquisition date. As a result, the final allocation may differ materially from the preliminary amounts presented herein, and such differences could result in changes to the amounts assigned to goodwill and could have a material impact on future depreciation and amortization expense in the combined company’s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4C. Property, Plant and Equipment, Net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adjustment to property, plant and equipment, net reflects the preliminary fair value of the acquired assets as of September 30, 2025, resulting in a $6.1 million increase as follows (in thousands):</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480" w:type="dxa"/>
            <w:vAlign w:val="bottom"/>
            <w:gridSpan w:val="2"/>
          </w:tcPr>
          <w:p>
            <w:pPr>
              <w:jc w:val="center"/>
              <w:ind w:left="149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Step-up</w:t>
            </w:r>
          </w:p>
        </w:tc>
        <w:tc>
          <w:tcPr>
            <w:tcW w:w="12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80" w:type="dxa"/>
            <w:vAlign w:val="bottom"/>
            <w:gridSpan w:val="2"/>
          </w:tcPr>
          <w:p>
            <w:pPr>
              <w:jc w:val="center"/>
              <w:ind w:left="1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 and trucks</w:t>
            </w:r>
          </w:p>
        </w:tc>
        <w:tc>
          <w:tcPr>
            <w:tcW w:w="1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4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tools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other</w:t>
            </w:r>
          </w:p>
        </w:tc>
        <w:tc>
          <w:tcPr>
            <w:tcW w:w="16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acquired</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to the $12.9 million shown in the table above, the Company recognized $1.9 million in finance lease assets related to the acquisition, which is included in Note 4K.</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fair value of the personal property assets was estimated using a combination of the cost and market approaches. The cost approach is based on the premise that a prudent investor would pay no more for an asset than its replacement or reproduction cost. The Company utilized historical cost from the fixed asset subledger to estimate the reproduction cost new, and for physical deterioration and other forms of obsolescence. The market approach estimated value based on observable market transactions for comparable assets; accordingly, market data from reputable, third-party sources was analyzed for similar vehicles to support the fair value conclusions.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 Intangible Assets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Reflects the preliminary estimated fair value amounts attributed to the identifiable intangible assets acquired in the Acquisition, as shown in the table below (in thousands, except estimated useful lives):</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Expense for</w:t>
            </w:r>
          </w:p>
        </w:tc>
        <w:tc>
          <w:tcPr>
            <w:tcW w:w="8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Expense for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the Nine</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Useful</w:t>
            </w:r>
          </w:p>
        </w:tc>
        <w:tc>
          <w:tcPr>
            <w:tcW w:w="1300" w:type="dxa"/>
            <w:vAlign w:val="bottom"/>
            <w:gridSpan w:val="3"/>
            <w:vMerge w:val="continue"/>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3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3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13,643</w:t>
            </w:r>
          </w:p>
        </w:tc>
        <w:tc>
          <w:tcPr>
            <w:tcW w:w="5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46,600</w:t>
            </w:r>
          </w:p>
        </w:tc>
        <w:tc>
          <w:tcPr>
            <w:tcW w:w="5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3,495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55,500</w:t>
            </w:r>
          </w:p>
        </w:tc>
        <w:tc>
          <w:tcPr>
            <w:tcW w:w="5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20,813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27,750</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302,200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37,951</w:t>
            </w:r>
          </w:p>
        </w:tc>
        <w:tc>
          <w:tcPr>
            <w:tcW w:w="5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fair values of the customer relationships and backlog intangible assets were determined by using an income approach, specifically a multi-period excess earnings method (“MPEEM”), which is a commonly accepted valuation approach. Under this approach, the net earnings attributable to the asset being measured are isolated using the discounted projected net cash flows. These projected cash flows are isolated from the projected cash flows of the combined asset group over the remaining economic life of the intangible asset being measured. Both the amount and the duration of the cash flows are considered from a market participant perspective. Where appropriate, the net cash flows were adjusted to reflect the attrition of existing customers in the future. The fair value of the trade names intangible assets were determined using an income approach, or discounted cash flow method. The remaining useful life of the acquired intangible assets was estimated based on the period over which substantially all the undiscounted cash flows are expected to be realized.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4E. Favorable Leases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favorable lease adjustment of $3.0 million represents the preliminary fair value assigned to below-market lease arrangements assumed in the Acquisition. The fair value of the below-market lease component is calculated using a discounted cash flow method under the income approach, which is a commonly accepted valuation approach. Under this approach, the difference between the contract rent and market rent is projected over the remaining lease terms, including relevant options, and discounted back to present value utilizing a market-based discount rate. The adjustment is recorded as an increase to right-of-use (“ROU”) assets and will be amortized over the remaining non-cancelable lease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4F. Buyer’s Transaction Expenses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Legence incurred direct, incremental estimated transaction costs of $5.1 million related to the Acquisition, consisting of advisory, legal, accounting and other professional fees. The Company recognized $0.3 million of these costs in the unaudited condensed combined statement of operations for the nine months ended September 30, 2025. The $5.1 million is presented as a reduction in cash with $0.3 million relieved from accounts payable and the remaining $4.8 million presented as a reduction in retained earnings. The transaction costs related to the Acquisition are nonrecurring and will not have a continuing impact on the Company’s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4G. Assets Outside of Acquisition Perimeter</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This adjustment relates to elimination of prepaid taxes of $4.5 million and cash surrender value of life insurance of $0.8 million, which were not acquired in the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4H. Seller Transaction Bonus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Sellers had certain agreements in place that resulted in a $14.4 million transaction bonus liability to Bowers’s employees assumed by Legence upon closing of the Acquisition. In addition, Sellers executed other employee agreements prior to the Acquisition which result in a $9.0 million liability that will be expensed by Legence.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4I. Noncontrolling Interest Impact of Transaction Accounting Adjustments and Related Financing</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reports a noncontrolling interest on the portion of net assets not attributable to Legence stockholders. This adjustment reflects the estimated change to the allocation between noncontrolling interest and Legence stockholders including (i) the rebalancing of legacy equity between Legence stockholders and NCI holders due to the issuance of additional shares as purchase consideration for the Acquisition and (ii) the allocation of NCI related to the net assets acquired in the Bowers acquisition, as though the Acquisition occurred on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4J. Recognition of Lease Remeasurement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Represents the pro forma adjustment to recognize the remeasurement of the acquired lease-related balances, including ROU assets and corresponding lease liabilities, at Legence’s incremental borrowing 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4K. Recording Financing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pro forma adjustment to recognize finance lease obligations, in accordance with Legence’s lease accounting policies.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4L. Debt Financing</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Legence Holdings entered into Amendment No. 12 to its existing credit agreement with Jefferies Finance LLC as the administrative agent for a group of lenders, pursuant to which the lenders provided a $200.0 million incremental term loan to fund a portion of the cash consideration for the Bowers acquisition and pay transaction expenses. The incremental term loan accrues interest at Term Secured Overnight Financing Rate (“SOFR”) plus 2.25% with a SOFR floor of 0.75% and share the same collateral, guarantees and maturity structure as the existing term loan. In connection with the amendment, the Company paid $4.1 million in fees, of which $1.0 million is recognized as deferred financing fees in the unaudited pro forma condensed combined balance sheet and $3.1 million is recognized as credit agreement amendment fees in the unaudited pro forma condensed combined statement of operations for the year ended December 31,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 to Unaudited Pro Forma Condensed Combined Statement of Operations</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following adjustments have been reflected in the unaudited pro forma condensed combined statements of operations for the year ended December 31, 2024, and the nine months ended September 30, 2025, to present adjustments depicting the accounting for Acquisition and related financing in the unaudited pro forma condensed combined balance sheet assuming those adjustments were made on January 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4AA. Depreciation of Property and Equipment</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adjustment reflects the additional depreciation expense resulting from the preliminary fair value step up of acquired property and equipment. The incremental depreciation is calculated based on the preliminary fair values (Note 4C) and remaining useful lives of the assets acquired as shown below (in thousands, except estimated useful lives):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8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68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700" w:type="dxa"/>
            <w:vAlign w:val="bottom"/>
            <w:gridSpan w:val="3"/>
          </w:tcPr>
          <w:p>
            <w:pPr>
              <w:jc w:val="center"/>
              <w:ind w:left="535"/>
              <w:spacing w:after="0" w:line="149" w:lineRule="exact"/>
              <w:rPr>
                <w:sz w:val="20"/>
                <w:szCs w:val="20"/>
                <w:color w:val="auto"/>
              </w:rPr>
            </w:pPr>
            <w:r>
              <w:rPr>
                <w:rFonts w:ascii="Times New Roman" w:cs="Times New Roman" w:eastAsia="Times New Roman" w:hAnsi="Times New Roman"/>
                <w:sz w:val="14"/>
                <w:szCs w:val="14"/>
                <w:b w:val="1"/>
                <w:bCs w:val="1"/>
                <w:color w:val="auto"/>
              </w:rPr>
              <w:t>Expense for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960" w:type="dxa"/>
            <w:vAlign w:val="bottom"/>
            <w:gridSpan w:val="2"/>
          </w:tcPr>
          <w:p>
            <w:pPr>
              <w:jc w:val="center"/>
              <w:ind w:left="593"/>
              <w:spacing w:after="0" w:line="149" w:lineRule="exact"/>
              <w:rPr>
                <w:sz w:val="20"/>
                <w:szCs w:val="20"/>
                <w:color w:val="auto"/>
              </w:rPr>
            </w:pPr>
            <w:r>
              <w:rPr>
                <w:rFonts w:ascii="Times New Roman" w:cs="Times New Roman" w:eastAsia="Times New Roman" w:hAnsi="Times New Roman"/>
                <w:sz w:val="14"/>
                <w:szCs w:val="14"/>
                <w:b w:val="1"/>
                <w:bCs w:val="1"/>
                <w:color w:val="auto"/>
              </w:rPr>
              <w:t>Expense for the Nine</w:t>
            </w:r>
          </w:p>
        </w:tc>
        <w:tc>
          <w:tcPr>
            <w:tcW w:w="68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6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68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68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40" w:type="dxa"/>
            <w:vAlign w:val="bottom"/>
            <w:gridSpan w:val="2"/>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Autos and trucks</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6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tools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depreciation expense</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 Historical depreciation expense</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6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adjustment to depreciation expense</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4BB. Amortization of Intangible Assets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This adjustment represents the straight-line amortization of preliminary fair values of identifiable intangible assets acquired, based on the estimated useful lives, as noted in Note 4D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4CC. Buyer’s Transaction Cost</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has been adjusted to reflect estimated transaction costs that Legence expects to incur in connection with the Acquisition, assuming the adjustment reflecting that accounting for such costs were made on January 1, 2024, for purposes of presenting the pro forma results for the year ended December 31, 2024. These adjustments include transaction-related compensation costs, a portion of which was expensed as incurred rather than capitalized as part of the acquisition accounting.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4DD. Amortization of Favorable Lease Adjustments</w:t>
      </w:r>
    </w:p>
    <w:p>
      <w:pPr>
        <w:spacing w:after="0" w:line="121"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Represents the pro forma amortization of the favorable lease adjustment recognized in connection with the Acquisition. The favorable lease amount is amortized on a straight-line basis over the remaining lease term, resulting in a reduction to operating income in the pro forma statement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4EE. Recognition of Retention Bonus as Compensation Expense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has been adjusted to reflect adjustment depicting the accounting for the estimated retention bonus expense that Legence expects to incur in connection with the Acquisition for certain key Bowers employees, payable on the first, second, and third anniversaries of the Acquisition. These adjustments reflect the recognition of the estimated retention bonus expense for the periods presented in accordance with ASC 710.</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4FF. Income Tax Impact of Adjustments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adjustment reflects the accounting for the estimated tax effects of the pro forma adjustments noted above, calculated using the combined company’s estimated statutory tax rates for each period. The impact has been determined using an estimated blended tax rate of 26.06% and 25.94% for the year ended December 31, 2024 and the nine months ended September 30, 2025,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4GG. Share Based Payment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adjustment represents the inclusion of stock-based compensation expense for the 284,081 restricted stock units issued in connection with the Acquisition to certain Bowers employees. The fair value of the restricted stock units granted is based on the Legence stock price of $43.04. A portion of these restricted stock units will vest in three equal installments on each of the first, second and third anniversaries of the applicable vesting commencement date, subject generally to continued employment through the applicable vesting date. The remaining restricted stock units will fully vest on the third anniversary of the Acquisition, subject generally to continued service through the applicable vesting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4HH. Accretion of Deferred Consideration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Represents the pro forma recognition of deferred consideration associated with the Acquisition, measured by applying a probability-weighted assessment of the settlement alternatives (stock or cash) and discounting the expected payment to present value using the appropriate discount period of one year and present value factor at 5.7%.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4II. Intercompany Elimination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adjustment represents the intercompany elimination between revenue and cost of revenue for intercompany activity between Bowers and Legence during the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4JJ. Noncontrolling Interests on Transaction-Related Adjustments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Represents the pro forma impact of NCI on transaction-related adjustments, consistent with the post-Corporate Reorganization ownership structure disclosed in the Company’s Form 10-Q for the period ended September 30, 2025. After giving effect to the shares issued as consideration for the Bowers acquisition, Legence Corp. owns approximately 57% of Legence Holdings, while NCI holders retain the remaining 43%. Accordingly, the portion of the Bowers’s historical net income and the related pro forma adjustments attributable to Legence Holdings is allocated to NCI based on the NCI holders’ ownership percentage.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4KK. Remeasurement of Leases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Represents the pro forma statement of operations adjustment to reflect the resulting lease related expenses, primarily straight-line lease expense for operating leases and amortization of the ROU asset and interest expense on the lease liability for finance leases, assuming the lease reinstatement and related expense recognition commenced at the beginning of the period presented, consistent with Article 11 and ASC 805.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4LL. Interest Expense and Amortization of Debt Financing Costs on New Debt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adjustment reflects the estimated incremental interest expense and amortization of debt issuance costs related to new financing Legence obtained in connection with the Acquisition, as noted in Note 4L above. These adjustments represent recurring effects of the new capital structure and are therefore included in both pro forma periods presented. The effect on unaudited pro forma net income of a 0.125% change in interest rates on the acquisition related financing would be $0.2 million and $0.3 million, for the nine months ended September 30, 2025 and for the year ended December 31, 2024,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4MM. Income Tax Impact on Interest and Amortization of New Debt</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adjustment reflects the estimated income tax effects of the interest expense and amortization of debt issuance costs recorded in Adjustment 4LL, based on the applicable estimated statutory tax rate. The tax impact is included for both pro forma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4NN. Noncontrolling Interests on Finance-Related Adjustments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Reflects the allocation of financing-related pro forma adjustments between Legence Corp. and the NCI holders, consistent with the post-Corporate Reorganization ownership structure disclosed in the Company’s Form 10-Q for the period ended September 30, 2025 and shares issued as consideration for the Bowers acquisition.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47" w:name="page48"/>
    <w:bookmarkEnd w:id="4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5. Earnings Per Share</w:t>
      </w:r>
    </w:p>
    <w:p>
      <w:pPr>
        <w:spacing w:after="0" w:line="121"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Basic pro forma earnings per share is calculated using net income (loss) attributable to Legence divided by the weighted-average number of shares of Class A Common Stock outstanding during the period, including shares issued as consideration transferred for the Acquisition. Diluted pro forma earnings per share is calculated using net income (loss) attributable to Legence divided by the weighted-average number of shares of Class A Common Stock outstanding during the period, including shares issued as consideration transferred for the Acquisition, adjusted to give effect to potentially dilutive securities. The table below presents the computation of pro forma basic and dilutive earnings per share for Legence (in thousands, except per share amounts):</w:t>
      </w:r>
    </w:p>
    <w:p>
      <w:pPr>
        <w:spacing w:after="0" w:line="19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21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640" w:type="dxa"/>
            <w:vAlign w:val="bottom"/>
            <w:gridSpan w:val="2"/>
          </w:tcPr>
          <w:p>
            <w:pPr>
              <w:jc w:val="center"/>
              <w:ind w:left="35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36,442</w:t>
            </w:r>
          </w:p>
        </w:tc>
        <w:tc>
          <w:tcPr>
            <w:tcW w:w="2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2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(16,626)</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Legence (basic)</w:t>
            </w:r>
          </w:p>
        </w:tc>
        <w:tc>
          <w:tcPr>
            <w:tcW w:w="4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18,389</w:t>
            </w:r>
          </w:p>
        </w:tc>
        <w:tc>
          <w:tcPr>
            <w:tcW w:w="8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effect of dilutive securities:</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Assumed conversion of noncontrolling interests to shares of</w:t>
            </w: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Legence (diluted)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18,433</w:t>
            </w:r>
          </w:p>
        </w:tc>
        <w:tc>
          <w:tcPr>
            <w:tcW w:w="2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(13,078)</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Weighted-average Class A Common Stock outstanding</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61,352</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 of Legence Corp. as consideration transferred</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Deferred consideration related to the Acquisition</w:t>
            </w:r>
            <w:r>
              <w:rPr>
                <w:rFonts w:ascii="Times New Roman" w:cs="Times New Roman" w:eastAsia="Times New Roman" w:hAnsi="Times New Roman"/>
                <w:sz w:val="25"/>
                <w:szCs w:val="25"/>
                <w:color w:val="auto"/>
                <w:vertAlign w:val="superscript"/>
              </w:rPr>
              <w:t>(1)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Weighted-average Class A Common Stock outstanding (basic)</w:t>
            </w:r>
          </w:p>
        </w:tc>
        <w:tc>
          <w:tcPr>
            <w:tcW w:w="4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62,516</w:t>
            </w:r>
          </w:p>
        </w:tc>
        <w:tc>
          <w:tcPr>
            <w:tcW w:w="8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common shares attributable to dilutive instruments:</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Assumed conversion of noncontrolling interests to shares of</w:t>
            </w: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Class A Common Stock</w:t>
            </w:r>
          </w:p>
        </w:tc>
        <w:tc>
          <w:tcPr>
            <w:tcW w:w="44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Weighted-average Class A Common Stock outstanding (diluted)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62,855</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jc w:val="both"/>
        <w:ind w:left="424" w:hanging="424"/>
        <w:spacing w:after="0" w:line="266"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consideration payable one year following the closing of the Acquisition, to be settled in cash, shares, or a combination at the Company’s election. For the period ended September 30, 2025, the instrument is included in the basic earnings per share denominator assuming settlement in shares at the beginning of the period.</w:t>
      </w:r>
    </w:p>
    <w:p>
      <w:pPr>
        <w:spacing w:after="0" w:line="176"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The following securities were not included in the computation of diluted earnings per share for the year ended December 31, 2024, as there is net loss attributable to Legence, and to do so would be anti-dilutive (in thousands):</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214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700" w:type="dxa"/>
            <w:vAlign w:val="bottom"/>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8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stock options</w:t>
            </w:r>
          </w:p>
        </w:tc>
        <w:tc>
          <w:tcPr>
            <w:tcW w:w="5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— </w:t>
            </w:r>
          </w:p>
        </w:tc>
        <w:tc>
          <w:tcPr>
            <w:tcW w:w="8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Effect of RSUs</w:t>
            </w:r>
          </w:p>
        </w:tc>
        <w:tc>
          <w:tcPr>
            <w:tcW w:w="500" w:type="dxa"/>
            <w:vAlign w:val="bottom"/>
          </w:tcPr>
          <w:p>
            <w:pPr>
              <w:spacing w:after="0"/>
              <w:rPr>
                <w:sz w:val="18"/>
                <w:szCs w:val="18"/>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6"/>
              </w:rPr>
              <w:t>— 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conversion of noncontrolling interests to shares of Class A</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46,681</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consideration related to the Acquisition</w:t>
            </w:r>
          </w:p>
        </w:tc>
        <w:tc>
          <w:tcPr>
            <w:tcW w:w="500" w:type="dxa"/>
            <w:vAlign w:val="bottom"/>
          </w:tcPr>
          <w:p>
            <w:pPr>
              <w:spacing w:after="0"/>
              <w:rPr>
                <w:sz w:val="20"/>
                <w:szCs w:val="20"/>
                <w:color w:val="auto"/>
              </w:rPr>
            </w:pPr>
          </w:p>
        </w:tc>
        <w:tc>
          <w:tcPr>
            <w:tcW w:w="12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6"/>
              </w:rPr>
              <w:t>— 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42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24"/>
      </w:cols>
      <w:pgMar w:left="436"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2026-03-19T05:11:59Z</dcterms:created>
  <dcterms:modified xsi:type="dcterms:W3CDTF">2026-03-19T05:11:59Z</dcterms:modified>
</cp:coreProperties>
</file>