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Crisci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LEGENCE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LAS PLUMAS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Legence Corp.</w:t>
              </w:r>
            </w:hyperlink>
            <w:r>
              <w:rPr/>
              <w:t xml:space="preserve"> [ </w:t>
            </w:r>
            <w:r>
              <w:rPr>
                <w:rFonts w:ascii="Times;serif" w:hAnsi="Times;serif"/>
                <w:color w:val="0000FF"/>
                <w:sz w:val="24"/>
                <w:shd w:fill="FFFFFF" w:val="clear"/>
              </w:rPr>
              <w:t>LGN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Bryce Seki,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2052568-ex24_1.htm"/>
      <w:bookmarkStart w:id="3" w:name="ksck0002052568ex24_1"/>
      <w:bookmarkEnd w:id="2"/>
      <w:bookmarkEnd w:id="3"/>
      <w:r>
        <w:rPr>
          <w:rFonts w:ascii="Times New Roman" w:hAnsi="Times New Roman"/>
          <w:b/>
          <w:color w:val="000000"/>
          <w:sz w:val="20"/>
        </w:rPr>
        <w:t>POWER OF ATTORNEY</w:t>
      </w:r>
      <w:r>
        <w:br w:type="page"/>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KNOW ALL BY THESE PRESENTS, that the undersigned hereby makes, constitutes and appoints each of Bryce Seki, Stephen Butz and Tony Flor, signing singly, as the undersigned's true and lawful attorney-in-fact and agent, with full power and authority, including substitution and revocation, as hereinafter described on behalf of and in the name, place and stead of the undersigned to:</w:t>
      </w:r>
    </w:p>
    <w:p>
      <w:pPr>
        <w:pStyle w:val="TextBody"/>
        <w:bidi w:val="0"/>
        <w:spacing w:before="0" w:after="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Legence Corp., a Delaware corporation, or any successor thereto (the “Company”), with the U.S. Securities and Exchange Commission, any national securities exchanges and the Company, as considered necessary or advisable under Section 16(a) of the Exchange Act and the rules and regulations promulgated thereunder, as amended from time to time under the Exchange Act as well as notices on Form 144 and amendments thereto, filed pursuant to Rule 144 promulgated under the Securities Act of 1933, as amended (the "Securities Act");</w:t>
      </w:r>
    </w:p>
    <w:p>
      <w:pPr>
        <w:pStyle w:val="TextBody"/>
        <w:bidi w:val="0"/>
        <w:spacing w:before="0" w:after="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20"/>
        <w:jc w:val="both"/>
        <w:rPr>
          <w:rFonts w:ascii="Times New Roman" w:hAnsi="Times New Roman"/>
          <w:color w:val="4D4D4F"/>
          <w:sz w:val="22"/>
        </w:rPr>
      </w:pPr>
      <w:r>
        <w:rPr>
          <w:rFonts w:ascii="Times New Roman" w:hAnsi="Times New Roman"/>
          <w:color w:val="4D4D4F"/>
          <w:sz w:val="22"/>
        </w:rPr>
        <w:t>(3)</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pStyle w:val="TextBody"/>
        <w:bidi w:val="0"/>
        <w:spacing w:before="0" w:after="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spacing w:before="0" w:after="0"/>
        <w:jc w:val="both"/>
        <w:rPr>
          <w:rFonts w:ascii="Times New Roman" w:hAnsi="Times New Roman"/>
          <w:color w:val="4D4D4F"/>
          <w:sz w:val="22"/>
        </w:rPr>
      </w:pPr>
      <w:r>
        <w:rPr>
          <w:rFonts w:ascii="Times New Roman" w:hAnsi="Times New Roman"/>
          <w:color w:val="4D4D4F"/>
          <w:sz w:val="22"/>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or the Securities Act, as applicable (ii) any liability of the undersigned for any failure to comply with such requirements, (iii) any obligation or liability of the undersigned for profit disgorgement under Section 16(b) of the Exchange Act, or (iv) any liability for failure to quality for the safe harbor Rule 144; and</w:t>
      </w:r>
    </w:p>
    <w:p>
      <w:pPr>
        <w:pStyle w:val="TextBody"/>
        <w:bidi w:val="0"/>
        <w:spacing w:before="0" w:after="22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or Securities Act, as applicable, including without limitation the reporting requirements under Section 13 and/or Section 16 of the Exchange Act.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18th day of August, 2026.</w:t>
      </w:r>
    </w:p>
    <w:p>
      <w:pPr>
        <w:pStyle w:val="TextBody"/>
        <w:bidi w:val="0"/>
        <w:jc w:val="left"/>
        <w:rPr/>
      </w:pPr>
      <w:r>
        <w:rPr/>
        <w:t> </w:t>
      </w:r>
    </w:p>
    <w:tbl>
      <w:tblPr>
        <w:tblW w:w="2117" w:type="dxa"/>
        <w:jc w:val="left"/>
        <w:tblInd w:w="0" w:type="dxa"/>
        <w:tblLayout w:type="fixed"/>
        <w:tblCellMar>
          <w:top w:w="28" w:type="dxa"/>
          <w:left w:w="28" w:type="dxa"/>
          <w:bottom w:w="28" w:type="dxa"/>
          <w:right w:w="28" w:type="dxa"/>
        </w:tblCellMar>
      </w:tblPr>
      <w:tblGrid>
        <w:gridCol w:w="646"/>
        <w:gridCol w:w="1471"/>
      </w:tblGrid>
      <w:tr>
        <w:trPr/>
        <w:tc>
          <w:tcPr>
            <w:tcW w:w="6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Crisci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Crisci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9417" TargetMode="External"/><Relationship Id="rId3" Type="http://schemas.openxmlformats.org/officeDocument/2006/relationships/hyperlink" Target="http://www.sec.gov/cgi-bin/browse-edgar?action=getcompany&amp;CIK=00020525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1041</Words>
  <Characters>5719</Characters>
  <CharactersWithSpaces>6691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